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858" w:rsidRDefault="004373C1">
      <w:pPr>
        <w:pStyle w:val="Heading1"/>
      </w:pPr>
      <w:bookmarkStart w:id="0" w:name="_GoBack"/>
      <w:bookmarkEnd w:id="0"/>
      <w:r>
        <w:t>What is the Program?</w:t>
      </w:r>
    </w:p>
    <w:p w:rsidR="00170858" w:rsidRDefault="004373C1">
      <w:r>
        <w:t xml:space="preserve">In 2011, BC Housing, BC Non-Profit Housing Association (BCNPHA) and BC Hydro partnered together to increase the energy </w:t>
      </w:r>
      <w:r>
        <w:t>efficiency of social housing and return some of the resulting savings to participating non-profit societies. The resulting Energy Efficiency Retrofit Program (EERP) builds on the existing BC Hydro Power Smart Express (PSX) or other incentive programs and p</w:t>
      </w:r>
      <w:r>
        <w:t>rovides further funds to make small-scale energy-saving retrofits of items like light fixtures.</w:t>
      </w:r>
    </w:p>
    <w:p w:rsidR="00170858" w:rsidRDefault="004373C1">
      <w:pPr>
        <w:pStyle w:val="Heading1"/>
      </w:pPr>
      <w:r>
        <w:t>How does the program funding work?</w:t>
      </w:r>
    </w:p>
    <w:p w:rsidR="00170858" w:rsidRDefault="004373C1">
      <w:r>
        <w:t>Either a rebate or grant is provided by BC Housing to help fund the retrofits. The grant is for societies that receive either</w:t>
      </w:r>
      <w:r>
        <w:t xml:space="preserve"> a fixed subsidy or no utility subsidy. The rebate is for societies that receive a subsidy that includes utility costs as an uncontrollable expense.</w:t>
      </w:r>
    </w:p>
    <w:p w:rsidR="00170858" w:rsidRDefault="004373C1">
      <w:pPr>
        <w:pStyle w:val="Heading1"/>
      </w:pPr>
      <w:r>
        <w:t>How is the grant calculated?</w:t>
      </w:r>
    </w:p>
    <w:p w:rsidR="00170858" w:rsidRDefault="004373C1">
      <w:pPr>
        <w:rPr>
          <w:color w:val="595959" w:themeColor="text1" w:themeTint="A6"/>
          <w:sz w:val="20"/>
          <w:szCs w:val="20"/>
        </w:rPr>
      </w:pPr>
      <w:r>
        <w:t xml:space="preserve">The grant is equal to 50 per cent of the project cost. Grants are intended to </w:t>
      </w:r>
      <w:r>
        <w:t>fund the energy retrofits in conjunction with the PSX incentive program. Project costs exceeding the combined value of the BC Housing grant and the PSX incentive are approved replacement reserve expenditures. Larger grant projects may need to be reviewed t</w:t>
      </w:r>
      <w:r>
        <w:t>o determine eligibility to the EERP program.</w:t>
      </w:r>
    </w:p>
    <w:p w:rsidR="00170858" w:rsidRDefault="004373C1">
      <w:pPr>
        <w:pStyle w:val="Heading1"/>
      </w:pPr>
      <w:r>
        <w:t>How is the rebate calculated?</w:t>
      </w:r>
    </w:p>
    <w:p w:rsidR="00170858" w:rsidRDefault="004373C1">
      <w:pPr>
        <w:rPr>
          <w:color w:val="595959" w:themeColor="text1" w:themeTint="A6"/>
        </w:rPr>
      </w:pPr>
      <w:r>
        <w:t>The rebate is equal to the net present value of the projected energy savings up to 100 per cent of the project cost. Rebates are intended to fund the energy retrofits in conjunction</w:t>
      </w:r>
      <w:r>
        <w:t xml:space="preserve"> with the PSX incentive program. In effect, BC Housing is advancing the value of the estimated energy savings (in today’s dollars) that the retrofits will accrue over the next ten years up to a maximum of the project cost</w:t>
      </w:r>
      <w:r>
        <w:rPr>
          <w:color w:val="595959" w:themeColor="text1" w:themeTint="A6"/>
        </w:rPr>
        <w:t>.</w:t>
      </w:r>
    </w:p>
    <w:p w:rsidR="00170858" w:rsidRDefault="004373C1">
      <w:pPr>
        <w:pStyle w:val="Heading1"/>
      </w:pPr>
      <w:r>
        <w:t>Who is eligible?</w:t>
      </w:r>
    </w:p>
    <w:p w:rsidR="00170858" w:rsidRDefault="004373C1">
      <w:r>
        <w:t xml:space="preserve">To be eligible, </w:t>
      </w:r>
      <w:r>
        <w:t xml:space="preserve">projects should contain a housing component and be operated under an eligible program operating agreement with BC Housing. Please refer to the </w:t>
      </w:r>
      <w:r>
        <w:t>Program Funding Guide for further eligibility details.  Project application to BC Hydro Power Smart Express (PSX)</w:t>
      </w:r>
      <w:r>
        <w:t xml:space="preserve"> must be completed while funds remain available. To ensure funding is available to as many societies as possible, a restriction of one building per society, per year may be applied.</w:t>
      </w:r>
    </w:p>
    <w:p w:rsidR="00170858" w:rsidRDefault="004373C1">
      <w:pPr>
        <w:pStyle w:val="Heading1"/>
      </w:pPr>
      <w:r>
        <w:t>Why do we use the BC Hydro PSX programs?</w:t>
      </w:r>
    </w:p>
    <w:p w:rsidR="00170858" w:rsidRDefault="004373C1">
      <w:r>
        <w:t xml:space="preserve">Because BC Hydro is regulated by </w:t>
      </w:r>
      <w:r>
        <w:t>the BC Utilities Commission (BCUC), all of their incentive programs are verified by the BCUC to ensure that the savings estimates are valid. In addition, BC Hydro has existing infrastructure in place to provide validation that the products eligible under t</w:t>
      </w:r>
      <w:r>
        <w:t>he PSX program are likely to achieve the estimated savings.</w:t>
      </w:r>
    </w:p>
    <w:p w:rsidR="00170858" w:rsidRDefault="004373C1">
      <w:r>
        <w:t>BC Hydro’s Power Smart contractors have also met eligibility requirements. Neither BC Housing nor the BCNPHA have the necessary infrastructure to provide this kind of quality control.  The PSX pro</w:t>
      </w:r>
      <w:r>
        <w:t>gram provides incentive dollars in addition to the grant or rebate provided by BC Housing.</w:t>
      </w:r>
    </w:p>
    <w:p w:rsidR="00170858" w:rsidRDefault="004373C1">
      <w:pPr>
        <w:pStyle w:val="Heading1"/>
      </w:pPr>
      <w:r>
        <w:t>What are the application steps?</w:t>
      </w:r>
    </w:p>
    <w:p w:rsidR="00170858" w:rsidRDefault="004373C1">
      <w:pPr>
        <w:pStyle w:val="ListParagraph"/>
        <w:numPr>
          <w:ilvl w:val="0"/>
          <w:numId w:val="4"/>
        </w:numPr>
        <w:ind w:left="284" w:hanging="284"/>
      </w:pPr>
      <w:r>
        <w:t>Contact BCNPHA to determine eligibility for the program. Include BC Hydro account information.</w:t>
      </w:r>
    </w:p>
    <w:p w:rsidR="00170858" w:rsidRDefault="004373C1">
      <w:pPr>
        <w:pStyle w:val="ListParagraph"/>
        <w:numPr>
          <w:ilvl w:val="0"/>
          <w:numId w:val="4"/>
        </w:numPr>
        <w:ind w:left="284" w:hanging="284"/>
      </w:pPr>
      <w:r>
        <w:t>Apply for the BC Hydro Power Smart Par</w:t>
      </w:r>
      <w:r>
        <w:t>tner Express (PSX) online program or other program soonest to ensure maximum incentive funding with BC Hydro and BC Housing.</w:t>
      </w:r>
    </w:p>
    <w:p w:rsidR="00170858" w:rsidRDefault="004373C1">
      <w:pPr>
        <w:pStyle w:val="ListParagraph"/>
        <w:numPr>
          <w:ilvl w:val="0"/>
          <w:numId w:val="4"/>
        </w:numPr>
        <w:ind w:left="284" w:hanging="284"/>
      </w:pPr>
      <w:r>
        <w:t>For projects with larger, more complicated scope, that fall outside PSX, please contact BCNPHA to discuss other potential programs.</w:t>
      </w:r>
      <w:r>
        <w:t xml:space="preserve"> EERP funding will need to be reconfirmed by BCHMC.</w:t>
      </w:r>
    </w:p>
    <w:p w:rsidR="00170858" w:rsidRDefault="004373C1">
      <w:pPr>
        <w:pStyle w:val="ListParagraph"/>
        <w:numPr>
          <w:ilvl w:val="0"/>
          <w:numId w:val="4"/>
        </w:numPr>
        <w:ind w:left="284" w:hanging="284"/>
      </w:pPr>
      <w:r>
        <w:t xml:space="preserve">The work needs to be completed by approved BC Hydro Power Smart Alliance contractors and distributors. Competition for the work is recommended. </w:t>
      </w:r>
    </w:p>
    <w:p w:rsidR="00170858" w:rsidRDefault="004373C1">
      <w:pPr>
        <w:pStyle w:val="ListParagraph"/>
        <w:numPr>
          <w:ilvl w:val="0"/>
          <w:numId w:val="4"/>
        </w:numPr>
        <w:ind w:left="284" w:hanging="284"/>
      </w:pPr>
      <w:r>
        <w:lastRenderedPageBreak/>
        <w:t>Contact BCNPHA or review their web page for project roll ou</w:t>
      </w:r>
      <w:r>
        <w:t>t steps and guidelines in order to maintain eligibility for funding.</w:t>
      </w:r>
    </w:p>
    <w:p w:rsidR="00170858" w:rsidRDefault="004373C1">
      <w:pPr>
        <w:pStyle w:val="ListParagraph"/>
        <w:numPr>
          <w:ilvl w:val="0"/>
          <w:numId w:val="4"/>
        </w:numPr>
        <w:ind w:left="284" w:hanging="284"/>
      </w:pPr>
      <w:r>
        <w:t xml:space="preserve">Submit your application/consent form with the estimated project cost. This form gives permission for your PSX information to be shared with BC Housing. Please note that one </w:t>
      </w:r>
      <w:r>
        <w:t>application/consent form PER PROJECT is required.</w:t>
      </w:r>
    </w:p>
    <w:p w:rsidR="00170858" w:rsidRDefault="004373C1">
      <w:pPr>
        <w:pStyle w:val="ListParagraph"/>
        <w:numPr>
          <w:ilvl w:val="0"/>
          <w:numId w:val="4"/>
        </w:numPr>
        <w:ind w:left="284" w:hanging="284"/>
      </w:pPr>
      <w:r>
        <w:t>BC Housing will confirm eligibility of your application/consent form via funding approval agreement (FAA) and email to the contact you list on the form.</w:t>
      </w:r>
    </w:p>
    <w:p w:rsidR="00170858" w:rsidRDefault="004373C1">
      <w:pPr>
        <w:pStyle w:val="ListParagraph"/>
        <w:numPr>
          <w:ilvl w:val="0"/>
          <w:numId w:val="4"/>
        </w:numPr>
        <w:ind w:left="284" w:hanging="284"/>
      </w:pPr>
      <w:r>
        <w:t>Following confirmation of your application/consent fo</w:t>
      </w:r>
      <w:r>
        <w:t xml:space="preserve">rm, you may proceed with the project. </w:t>
      </w:r>
    </w:p>
    <w:p w:rsidR="00170858" w:rsidRDefault="004373C1">
      <w:pPr>
        <w:pStyle w:val="ListParagraph"/>
        <w:numPr>
          <w:ilvl w:val="0"/>
          <w:numId w:val="4"/>
        </w:numPr>
        <w:ind w:left="284" w:hanging="284"/>
      </w:pPr>
      <w:r>
        <w:t>Should project costs increase by over 10 per cent of estimates, please submit a new EERP consent and application form to BC Housing to secure additional funding. A new FAA will be issued by BC Housing.</w:t>
      </w:r>
    </w:p>
    <w:p w:rsidR="00170858" w:rsidRDefault="004373C1">
      <w:pPr>
        <w:pStyle w:val="ListParagraph"/>
        <w:numPr>
          <w:ilvl w:val="0"/>
          <w:numId w:val="4"/>
        </w:numPr>
        <w:ind w:left="284" w:hanging="284"/>
      </w:pPr>
      <w:r>
        <w:t>BC Hydro will n</w:t>
      </w:r>
      <w:r>
        <w:t>otify BC Housing once a successful review has been completed.</w:t>
      </w:r>
    </w:p>
    <w:p w:rsidR="00170858" w:rsidRDefault="004373C1">
      <w:pPr>
        <w:pStyle w:val="Heading1"/>
      </w:pPr>
      <w:r>
        <w:t>When does the retrofit work need to be completed by?</w:t>
      </w:r>
    </w:p>
    <w:p w:rsidR="00170858" w:rsidRDefault="004373C1">
      <w:r>
        <w:t>The retrofit work must be completed, and all PSX program requirements submitted to BC Hydro in accordance with your BC Hydro PSX application.</w:t>
      </w:r>
    </w:p>
    <w:p w:rsidR="00170858" w:rsidRDefault="004373C1">
      <w:pPr>
        <w:pStyle w:val="Heading1"/>
      </w:pPr>
      <w:r>
        <w:t>What information must be submitted after the retrofit is completed?</w:t>
      </w:r>
    </w:p>
    <w:p w:rsidR="00170858" w:rsidRDefault="004373C1">
      <w:r>
        <w:t xml:space="preserve">All necessary information will be contained within the PSX final application. Please refer to </w:t>
      </w:r>
      <w:hyperlink r:id="rId8" w:history="1">
        <w:r>
          <w:rPr>
            <w:rStyle w:val="Hyperlink"/>
          </w:rPr>
          <w:t>BC Hydro's requirements</w:t>
        </w:r>
      </w:hyperlink>
      <w:r>
        <w:t>.</w:t>
      </w:r>
    </w:p>
    <w:p w:rsidR="00170858" w:rsidRDefault="004373C1">
      <w:pPr>
        <w:pStyle w:val="Heading1"/>
      </w:pPr>
      <w:r>
        <w:t>When will the grant or rebate be issued?</w:t>
      </w:r>
    </w:p>
    <w:p w:rsidR="00170858" w:rsidRDefault="004373C1">
      <w:r>
        <w:t>BC Hydro will notify BC Housing of the successful review of the information on the PSX application and BC Housing will issue appropriate payment directly to the housing provid</w:t>
      </w:r>
      <w:r>
        <w:t>er.</w:t>
      </w:r>
    </w:p>
    <w:p w:rsidR="00170858" w:rsidRDefault="004373C1">
      <w:pPr>
        <w:pStyle w:val="Heading1"/>
      </w:pPr>
      <w:r>
        <w:t>How are project costs and the grant/rebate reported on financial statements at year-end?</w:t>
      </w:r>
    </w:p>
    <w:p w:rsidR="00170858" w:rsidRDefault="004373C1">
      <w:r>
        <w:t>Both project costs and grant/rebate funds should be reported as separate line items on your financial statements, and identified as Energy Efficiency Retrofit.</w:t>
      </w:r>
    </w:p>
    <w:p w:rsidR="00170858" w:rsidRDefault="004373C1">
      <w:r>
        <w:t>Pro</w:t>
      </w:r>
      <w:r>
        <w:t>gram items. (For further information, please see information bulletin regarding EERP Reporting Requirements.)</w:t>
      </w:r>
    </w:p>
    <w:p w:rsidR="00170858" w:rsidRDefault="004373C1">
      <w:pPr>
        <w:pStyle w:val="Heading1"/>
      </w:pPr>
      <w:r>
        <w:t>Is it acceptable to use replacement reserves for any project cost shortfall?</w:t>
      </w:r>
    </w:p>
    <w:p w:rsidR="00170858" w:rsidRDefault="004373C1">
      <w:r>
        <w:t>Grant Projects – yes, it is acceptable to use replacement reserves fo</w:t>
      </w:r>
      <w:r>
        <w:t>r costs exceeding the total amount received from BC Housing and BC Hydro. Please note if the replacement reserve funds were used for the Energy Efficiency Retrofit Program when reporting replacement reserve expenditures.</w:t>
      </w:r>
    </w:p>
    <w:p w:rsidR="00170858" w:rsidRDefault="004373C1">
      <w:r>
        <w:t xml:space="preserve">Rebate Projects – for the majority </w:t>
      </w:r>
      <w:r>
        <w:t>of projects it is unlikely that there will be a shortfall, but for the few projects where this happens, please contact your Non-Profit Portfolio Manager (NPPM) directly for approval. Please note that replacement reserve funds were used for the Energy Effic</w:t>
      </w:r>
      <w:r>
        <w:t>iency Retrofit Program when reporting replacement reserve expenditures.</w:t>
      </w:r>
    </w:p>
    <w:p w:rsidR="00170858" w:rsidRDefault="004373C1">
      <w:pPr>
        <w:pStyle w:val="Heading1"/>
      </w:pPr>
      <w:r>
        <w:t>Who can provide more information?</w:t>
      </w:r>
    </w:p>
    <w:tbl>
      <w:tblPr>
        <w:tblStyle w:val="LightGrid-Accent5"/>
        <w:tblW w:w="5741" w:type="dxa"/>
        <w:tblInd w:w="8" w:type="dxa"/>
        <w:tblBorders>
          <w:insideH w:val="none" w:sz="0" w:space="0" w:color="auto"/>
          <w:insideV w:val="none" w:sz="0" w:space="0" w:color="auto"/>
        </w:tblBorders>
        <w:tblLayout w:type="fixed"/>
        <w:tblCellMar>
          <w:right w:w="142" w:type="dxa"/>
        </w:tblCellMar>
        <w:tblLook w:val="04A0" w:firstRow="1" w:lastRow="0" w:firstColumn="1" w:lastColumn="0" w:noHBand="0" w:noVBand="1"/>
      </w:tblPr>
      <w:tblGrid>
        <w:gridCol w:w="3003"/>
        <w:gridCol w:w="2738"/>
      </w:tblGrid>
      <w:tr w:rsidR="00170858" w:rsidTr="0017085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03" w:type="dxa"/>
            <w:tcBorders>
              <w:left w:val="nil"/>
            </w:tcBorders>
          </w:tcPr>
          <w:p w:rsidR="00170858" w:rsidRDefault="00170858">
            <w:pPr>
              <w:pStyle w:val="ListParagraph"/>
            </w:pPr>
          </w:p>
          <w:p w:rsidR="00170858" w:rsidRDefault="004373C1">
            <w:r>
              <w:t>General questions</w:t>
            </w:r>
          </w:p>
        </w:tc>
        <w:tc>
          <w:tcPr>
            <w:tcW w:w="2738" w:type="dxa"/>
            <w:tcBorders>
              <w:right w:val="nil"/>
            </w:tcBorders>
          </w:tcPr>
          <w:p w:rsidR="00170858" w:rsidRDefault="00170858">
            <w:pPr>
              <w:pStyle w:val="ListParagraph"/>
              <w:cnfStyle w:val="100000000000" w:firstRow="1" w:lastRow="0" w:firstColumn="0" w:lastColumn="0" w:oddVBand="0" w:evenVBand="0" w:oddHBand="0" w:evenHBand="0" w:firstRowFirstColumn="0" w:firstRowLastColumn="0" w:lastRowFirstColumn="0" w:lastRowLastColumn="0"/>
            </w:pPr>
          </w:p>
          <w:p w:rsidR="00170858" w:rsidRDefault="004373C1">
            <w:pPr>
              <w:cnfStyle w:val="100000000000" w:firstRow="1" w:lastRow="0" w:firstColumn="0" w:lastColumn="0" w:oddVBand="0" w:evenVBand="0" w:oddHBand="0" w:evenHBand="0" w:firstRowFirstColumn="0" w:firstRowLastColumn="0" w:lastRowFirstColumn="0" w:lastRowLastColumn="0"/>
            </w:pPr>
            <w:r>
              <w:t>Contact your NPPM</w:t>
            </w:r>
          </w:p>
        </w:tc>
      </w:tr>
      <w:tr w:rsidR="00170858" w:rsidTr="00170858">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003" w:type="dxa"/>
            <w:tcBorders>
              <w:left w:val="nil"/>
            </w:tcBorders>
          </w:tcPr>
          <w:p w:rsidR="00170858" w:rsidRDefault="004373C1">
            <w:r>
              <w:t>For information about the funding application process</w:t>
            </w:r>
          </w:p>
        </w:tc>
        <w:tc>
          <w:tcPr>
            <w:tcW w:w="2738" w:type="dxa"/>
            <w:tcBorders>
              <w:right w:val="nil"/>
            </w:tcBorders>
          </w:tcPr>
          <w:p w:rsidR="00170858" w:rsidRDefault="004373C1">
            <w:pPr>
              <w:cnfStyle w:val="000000100000" w:firstRow="0" w:lastRow="0" w:firstColumn="0" w:lastColumn="0" w:oddVBand="0" w:evenVBand="0" w:oddHBand="1" w:evenHBand="0" w:firstRowFirstColumn="0" w:firstRowLastColumn="0" w:lastRowFirstColumn="0" w:lastRowLastColumn="0"/>
            </w:pPr>
            <w:r>
              <w:t xml:space="preserve">Contact information available on the Project Info Sheet </w:t>
            </w:r>
            <w:r>
              <w:t>or</w:t>
            </w:r>
            <w:r>
              <w:rPr>
                <w:color w:val="595959" w:themeColor="text1" w:themeTint="A6"/>
              </w:rPr>
              <w:t xml:space="preserve"> </w:t>
            </w:r>
            <w:hyperlink r:id="rId9" w:history="1">
              <w:r>
                <w:rPr>
                  <w:rStyle w:val="Hyperlink"/>
                  <w:rFonts w:cs="Arial"/>
                  <w:color w:val="365F91" w:themeColor="accent1" w:themeShade="BF"/>
                  <w:sz w:val="22"/>
                  <w:szCs w:val="22"/>
                </w:rPr>
                <w:t>energy@bchousing.org</w:t>
              </w:r>
            </w:hyperlink>
          </w:p>
        </w:tc>
      </w:tr>
      <w:tr w:rsidR="00170858" w:rsidTr="00170858">
        <w:trPr>
          <w:cnfStyle w:val="000000010000" w:firstRow="0" w:lastRow="0" w:firstColumn="0" w:lastColumn="0" w:oddVBand="0" w:evenVBand="0" w:oddHBand="0" w:evenHBand="1"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3003" w:type="dxa"/>
            <w:tcBorders>
              <w:left w:val="nil"/>
            </w:tcBorders>
          </w:tcPr>
          <w:p w:rsidR="00170858" w:rsidRDefault="004373C1">
            <w:r>
              <w:t>Additional information on the project process</w:t>
            </w:r>
          </w:p>
        </w:tc>
        <w:tc>
          <w:tcPr>
            <w:tcW w:w="2738" w:type="dxa"/>
            <w:tcBorders>
              <w:right w:val="nil"/>
            </w:tcBorders>
          </w:tcPr>
          <w:p w:rsidR="00170858" w:rsidRDefault="004373C1">
            <w:pPr>
              <w:cnfStyle w:val="000000010000" w:firstRow="0" w:lastRow="0" w:firstColumn="0" w:lastColumn="0" w:oddVBand="0" w:evenVBand="0" w:oddHBand="0" w:evenHBand="1" w:firstRowFirstColumn="0" w:firstRowLastColumn="0" w:lastRowFirstColumn="0" w:lastRowLastColumn="0"/>
            </w:pPr>
            <w:r>
              <w:t>Ian Cullis, BCNPHA at           604-291-2600 ext. 235</w:t>
            </w:r>
          </w:p>
        </w:tc>
      </w:tr>
      <w:tr w:rsidR="00170858" w:rsidTr="0017085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03" w:type="dxa"/>
            <w:tcBorders>
              <w:left w:val="nil"/>
            </w:tcBorders>
          </w:tcPr>
          <w:p w:rsidR="00170858" w:rsidRDefault="004373C1">
            <w:r>
              <w:t>Additional information on the program</w:t>
            </w:r>
          </w:p>
        </w:tc>
        <w:tc>
          <w:tcPr>
            <w:tcW w:w="2738" w:type="dxa"/>
            <w:tcBorders>
              <w:right w:val="nil"/>
            </w:tcBorders>
          </w:tcPr>
          <w:p w:rsidR="00170858" w:rsidRDefault="004373C1">
            <w:pPr>
              <w:cnfStyle w:val="000000100000" w:firstRow="0" w:lastRow="0" w:firstColumn="0" w:lastColumn="0" w:oddVBand="0" w:evenVBand="0" w:oddHBand="1" w:evenHBand="0" w:firstRowFirstColumn="0" w:firstRowLastColumn="0" w:lastRowFirstColumn="0" w:lastRowLastColumn="0"/>
            </w:pPr>
            <w:r>
              <w:t>Misha Nordquist, BC Housing at  778-452-6489</w:t>
            </w:r>
          </w:p>
        </w:tc>
      </w:tr>
      <w:tr w:rsidR="00170858" w:rsidTr="00170858">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741" w:type="dxa"/>
            <w:gridSpan w:val="2"/>
            <w:tcBorders>
              <w:left w:val="nil"/>
              <w:right w:val="nil"/>
            </w:tcBorders>
          </w:tcPr>
          <w:p w:rsidR="00170858" w:rsidRDefault="004373C1">
            <w:pPr>
              <w:pStyle w:val="ListParagraph"/>
              <w:rPr>
                <w:rFonts w:cs="Arial"/>
                <w:b w:val="0"/>
                <w:bCs w:val="0"/>
                <w:sz w:val="22"/>
                <w:szCs w:val="22"/>
              </w:rPr>
            </w:pPr>
            <w:hyperlink r:id="rId10" w:history="1">
              <w:r>
                <w:rPr>
                  <w:rStyle w:val="Hyperlink"/>
                  <w:rFonts w:cs="Arial"/>
                  <w:b w:val="0"/>
                  <w:bCs w:val="0"/>
                  <w:sz w:val="22"/>
                  <w:szCs w:val="22"/>
                </w:rPr>
                <w:t>Additional information on BC Hydro PSX program</w:t>
              </w:r>
            </w:hyperlink>
          </w:p>
        </w:tc>
      </w:tr>
    </w:tbl>
    <w:p w:rsidR="00170858" w:rsidRDefault="00170858"/>
    <w:sectPr w:rsidR="00170858">
      <w:headerReference w:type="even" r:id="rId11"/>
      <w:headerReference w:type="default" r:id="rId12"/>
      <w:footerReference w:type="even" r:id="rId13"/>
      <w:footerReference w:type="default" r:id="rId14"/>
      <w:headerReference w:type="first" r:id="rId15"/>
      <w:footerReference w:type="first" r:id="rId16"/>
      <w:pgSz w:w="12240" w:h="15840"/>
      <w:pgMar w:top="720" w:right="851" w:bottom="720" w:left="851" w:header="709" w:footer="217" w:gutter="0"/>
      <w:cols w:num="2" w:space="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858" w:rsidRDefault="004373C1">
      <w:r>
        <w:separator/>
      </w:r>
    </w:p>
  </w:endnote>
  <w:endnote w:type="continuationSeparator" w:id="0">
    <w:p w:rsidR="00170858" w:rsidRDefault="0043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58" w:rsidRDefault="00170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3585"/>
      <w:gridCol w:w="3585"/>
    </w:tblGrid>
    <w:tr w:rsidR="00170858">
      <w:tc>
        <w:tcPr>
          <w:tcW w:w="3584" w:type="dxa"/>
          <w:vAlign w:val="center"/>
        </w:tcPr>
        <w:p w:rsidR="00170858" w:rsidRDefault="004373C1">
          <w:pPr>
            <w:pStyle w:val="Footer"/>
          </w:pPr>
          <w:r>
            <w:rPr>
              <w:noProof/>
              <w:lang w:eastAsia="en-CA"/>
            </w:rPr>
            <w:drawing>
              <wp:inline distT="0" distB="0" distL="0" distR="0">
                <wp:extent cx="990600" cy="1076325"/>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990600" cy="1076325"/>
                        </a:xfrm>
                        <a:prstGeom prst="rect">
                          <a:avLst/>
                        </a:prstGeom>
                        <a:noFill/>
                        <a:ln w="9525">
                          <a:noFill/>
                          <a:miter lim="800000"/>
                          <a:headEnd/>
                          <a:tailEnd/>
                        </a:ln>
                      </pic:spPr>
                    </pic:pic>
                  </a:graphicData>
                </a:graphic>
              </wp:inline>
            </w:drawing>
          </w:r>
        </w:p>
      </w:tc>
      <w:tc>
        <w:tcPr>
          <w:tcW w:w="3585" w:type="dxa"/>
          <w:vAlign w:val="bottom"/>
        </w:tcPr>
        <w:p w:rsidR="00170858" w:rsidRDefault="004373C1">
          <w:pPr>
            <w:pStyle w:val="Footer"/>
          </w:pPr>
          <w:r>
            <w:rPr>
              <w:noProof/>
              <w:lang w:eastAsia="en-CA"/>
            </w:rPr>
            <w:drawing>
              <wp:inline distT="0" distB="0" distL="0" distR="0">
                <wp:extent cx="1172210" cy="1085850"/>
                <wp:effectExtent l="1905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172210" cy="1085850"/>
                        </a:xfrm>
                        <a:prstGeom prst="rect">
                          <a:avLst/>
                        </a:prstGeom>
                        <a:noFill/>
                        <a:ln w="9525">
                          <a:noFill/>
                          <a:miter lim="800000"/>
                          <a:headEnd/>
                          <a:tailEnd/>
                        </a:ln>
                      </pic:spPr>
                    </pic:pic>
                  </a:graphicData>
                </a:graphic>
              </wp:inline>
            </w:drawing>
          </w:r>
        </w:p>
      </w:tc>
      <w:tc>
        <w:tcPr>
          <w:tcW w:w="3585" w:type="dxa"/>
          <w:vAlign w:val="bottom"/>
        </w:tcPr>
        <w:p w:rsidR="00170858" w:rsidRDefault="004373C1">
          <w:pPr>
            <w:pStyle w:val="Footer"/>
          </w:pPr>
          <w:r>
            <w:rPr>
              <w:noProof/>
              <w:lang w:val="en-US" w:eastAsia="zh-TW"/>
            </w:rPr>
            <mc:AlternateContent>
              <mc:Choice Requires="wps">
                <w:drawing>
                  <wp:anchor distT="0" distB="0" distL="114300" distR="114300" simplePos="0" relativeHeight="251673600" behindDoc="0" locked="0" layoutInCell="1" allowOverlap="1">
                    <wp:simplePos x="0" y="0"/>
                    <wp:positionH relativeFrom="column">
                      <wp:posOffset>82550</wp:posOffset>
                    </wp:positionH>
                    <wp:positionV relativeFrom="paragraph">
                      <wp:posOffset>-591820</wp:posOffset>
                    </wp:positionV>
                    <wp:extent cx="1926590" cy="620395"/>
                    <wp:effectExtent l="6350" t="8255" r="10160" b="88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620395"/>
                            </a:xfrm>
                            <a:prstGeom prst="rect">
                              <a:avLst/>
                            </a:prstGeom>
                            <a:solidFill>
                              <a:srgbClr val="FFFFFF"/>
                            </a:solidFill>
                            <a:ln w="9525">
                              <a:solidFill>
                                <a:schemeClr val="bg1">
                                  <a:lumMod val="100000"/>
                                  <a:lumOff val="0"/>
                                </a:schemeClr>
                              </a:solidFill>
                              <a:miter lim="800000"/>
                              <a:headEnd/>
                              <a:tailEnd/>
                            </a:ln>
                          </wps:spPr>
                          <wps:txbx>
                            <w:txbxContent>
                              <w:p w:rsidR="00170858" w:rsidRDefault="004373C1">
                                <w:r>
                                  <w:rPr>
                                    <w:noProof/>
                                    <w:lang w:eastAsia="en-CA"/>
                                  </w:rPr>
                                  <w:drawing>
                                    <wp:inline distT="0" distB="0" distL="0" distR="0">
                                      <wp:extent cx="1690922" cy="443552"/>
                                      <wp:effectExtent l="19050" t="0" r="4528"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3" cstate="print"/>
                                              <a:stretch>
                                                <a:fillRect/>
                                              </a:stretch>
                                            </pic:blipFill>
                                            <pic:spPr>
                                              <a:xfrm>
                                                <a:off x="0" y="0"/>
                                                <a:ext cx="1699373" cy="44576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5pt;margin-top:-46.6pt;width:151.7pt;height:48.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" strokecolor="white [3212]">
                    <v:textbox style="mso-fit-shape-to-text:t">
                      <w:txbxContent>
                        <w:p w:rsidR="00170858" w:rsidRDefault="004373C1">
                          <w:r>
                            <w:rPr>
                              <w:noProof/>
                              <w:lang w:eastAsia="en-CA"/>
                            </w:rPr>
                            <w:drawing>
                              <wp:inline distT="0" distB="0" distL="0" distR="0">
                                <wp:extent cx="1690922" cy="443552"/>
                                <wp:effectExtent l="19050" t="0" r="4528"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3" cstate="print"/>
                                        <a:stretch>
                                          <a:fillRect/>
                                        </a:stretch>
                                      </pic:blipFill>
                                      <pic:spPr>
                                        <a:xfrm>
                                          <a:off x="0" y="0"/>
                                          <a:ext cx="1699373" cy="445769"/>
                                        </a:xfrm>
                                        <a:prstGeom prst="rect">
                                          <a:avLst/>
                                        </a:prstGeom>
                                      </pic:spPr>
                                    </pic:pic>
                                  </a:graphicData>
                                </a:graphic>
                              </wp:inline>
                            </w:drawing>
                          </w:r>
                        </w:p>
                      </w:txbxContent>
                    </v:textbox>
                  </v:shape>
                </w:pict>
              </mc:Fallback>
            </mc:AlternateContent>
          </w:r>
        </w:p>
      </w:tc>
    </w:tr>
  </w:tbl>
  <w:p w:rsidR="00170858" w:rsidRDefault="004373C1">
    <w:pPr>
      <w:pStyle w:val="Footer"/>
    </w:pPr>
    <w:r>
      <w:rPr>
        <w:noProof/>
        <w:lang w:eastAsia="en-CA"/>
      </w:rPr>
      <mc:AlternateContent>
        <mc:Choice Requires="wps">
          <w:drawing>
            <wp:anchor distT="0" distB="0" distL="114300" distR="114300" simplePos="0" relativeHeight="251668480" behindDoc="0" locked="0" layoutInCell="1" allowOverlap="1">
              <wp:simplePos x="0" y="0"/>
              <wp:positionH relativeFrom="column">
                <wp:posOffset>4318000</wp:posOffset>
              </wp:positionH>
              <wp:positionV relativeFrom="paragraph">
                <wp:posOffset>-1905</wp:posOffset>
              </wp:positionV>
              <wp:extent cx="2461260" cy="464820"/>
              <wp:effectExtent l="3175" t="0" r="2540" b="381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858" w:rsidRDefault="004373C1">
                          <w:pPr>
                            <w:pStyle w:val="Footer"/>
                            <w:spacing w:after="0"/>
                            <w:jc w:val="right"/>
                            <w:rPr>
                              <w:rFonts w:ascii="Arial" w:hAnsi="Arial" w:cs="Arial"/>
                              <w:sz w:val="16"/>
                              <w:szCs w:val="16"/>
                            </w:rPr>
                          </w:pPr>
                          <w:r>
                            <w:rPr>
                              <w:rFonts w:ascii="Arial" w:hAnsi="Arial" w:cs="Arial"/>
                              <w:sz w:val="16"/>
                              <w:szCs w:val="16"/>
                            </w:rPr>
                            <w:t>P-GSN-3003 (2016-08-30) EERP – Electric FAQ</w:t>
                          </w:r>
                        </w:p>
                        <w:p w:rsidR="00170858" w:rsidRDefault="0017085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40pt;margin-top:-.15pt;width:193.8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vmuAIAAMA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" filled="f" stroked="f">
              <v:textbox>
                <w:txbxContent>
                  <w:p w:rsidR="00170858" w:rsidRDefault="004373C1">
                    <w:pPr>
                      <w:pStyle w:val="Footer"/>
                      <w:spacing w:after="0"/>
                      <w:jc w:val="right"/>
                      <w:rPr>
                        <w:rFonts w:ascii="Arial" w:hAnsi="Arial" w:cs="Arial"/>
                        <w:sz w:val="16"/>
                        <w:szCs w:val="16"/>
                      </w:rPr>
                    </w:pPr>
                    <w:r>
                      <w:rPr>
                        <w:rFonts w:ascii="Arial" w:hAnsi="Arial" w:cs="Arial"/>
                        <w:sz w:val="16"/>
                        <w:szCs w:val="16"/>
                      </w:rPr>
                      <w:t>P-GSN-3003 (2016-08-30) EERP – Electric FAQ</w:t>
                    </w:r>
                  </w:p>
                  <w:p w:rsidR="00170858" w:rsidRDefault="00170858">
                    <w:pPr>
                      <w:rPr>
                        <w:rFonts w:ascii="Arial" w:hAnsi="Arial" w:cs="Arial"/>
                        <w:sz w:val="16"/>
                        <w:szCs w:val="16"/>
                      </w:rPr>
                    </w:pPr>
                  </w:p>
                </w:txbxContent>
              </v:textbox>
            </v:shape>
          </w:pict>
        </mc:Fallback>
      </mc:AlternateContent>
    </w:r>
  </w:p>
  <w:p w:rsidR="00170858" w:rsidRDefault="00170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3585"/>
      <w:gridCol w:w="3585"/>
    </w:tblGrid>
    <w:tr w:rsidR="00170858">
      <w:tc>
        <w:tcPr>
          <w:tcW w:w="3584" w:type="dxa"/>
          <w:vAlign w:val="bottom"/>
        </w:tcPr>
        <w:p w:rsidR="00170858" w:rsidRDefault="004373C1">
          <w:pPr>
            <w:pStyle w:val="Footer"/>
          </w:pPr>
          <w:r>
            <w:rPr>
              <w:noProof/>
              <w:lang w:eastAsia="en-CA"/>
            </w:rPr>
            <w:drawing>
              <wp:inline distT="0" distB="0" distL="0" distR="0">
                <wp:extent cx="991043" cy="107388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991043" cy="1073889"/>
                        </a:xfrm>
                        <a:prstGeom prst="rect">
                          <a:avLst/>
                        </a:prstGeom>
                        <a:noFill/>
                        <a:ln w="9525">
                          <a:noFill/>
                          <a:miter lim="800000"/>
                          <a:headEnd/>
                          <a:tailEnd/>
                        </a:ln>
                      </pic:spPr>
                    </pic:pic>
                  </a:graphicData>
                </a:graphic>
              </wp:inline>
            </w:drawing>
          </w:r>
        </w:p>
      </w:tc>
      <w:tc>
        <w:tcPr>
          <w:tcW w:w="3585" w:type="dxa"/>
          <w:vAlign w:val="bottom"/>
        </w:tcPr>
        <w:p w:rsidR="00170858" w:rsidRDefault="004373C1">
          <w:pPr>
            <w:pStyle w:val="Footer"/>
          </w:pPr>
          <w:r>
            <w:rPr>
              <w:noProof/>
              <w:lang w:eastAsia="zh-TW"/>
            </w:rPr>
            <mc:AlternateContent>
              <mc:Choice Requires="wps">
                <w:drawing>
                  <wp:anchor distT="0" distB="0" distL="114300" distR="114300" simplePos="0" relativeHeight="251667456" behindDoc="0" locked="0" layoutInCell="1" allowOverlap="1">
                    <wp:simplePos x="0" y="0"/>
                    <wp:positionH relativeFrom="column">
                      <wp:posOffset>2115820</wp:posOffset>
                    </wp:positionH>
                    <wp:positionV relativeFrom="paragraph">
                      <wp:posOffset>1136650</wp:posOffset>
                    </wp:positionV>
                    <wp:extent cx="2544445" cy="357505"/>
                    <wp:effectExtent l="1270" t="3175" r="0"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858" w:rsidRDefault="004373C1">
                                <w:pPr>
                                  <w:pStyle w:val="Footer"/>
                                  <w:spacing w:after="80"/>
                                  <w:ind w:right="240"/>
                                  <w:jc w:val="right"/>
                                  <w:rPr>
                                    <w:rFonts w:ascii="Arial" w:hAnsi="Arial" w:cs="Arial"/>
                                    <w:sz w:val="16"/>
                                    <w:szCs w:val="16"/>
                                  </w:rPr>
                                </w:pPr>
                                <w:r>
                                  <w:rPr>
                                    <w:rFonts w:ascii="Arial" w:hAnsi="Arial" w:cs="Arial"/>
                                    <w:sz w:val="16"/>
                                    <w:szCs w:val="16"/>
                                  </w:rPr>
                                  <w:t>P-GSN-3003 (2016-08-30) EERP – Electric FAQ</w:t>
                                </w:r>
                              </w:p>
                              <w:p w:rsidR="00170858" w:rsidRDefault="00170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66.6pt;margin-top:89.5pt;width:200.3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qMtwIAAMA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" filled="f" stroked="f">
                    <v:textbox>
                      <w:txbxContent>
                        <w:p w:rsidR="00170858" w:rsidRDefault="004373C1">
                          <w:pPr>
                            <w:pStyle w:val="Footer"/>
                            <w:spacing w:after="80"/>
                            <w:ind w:right="240"/>
                            <w:jc w:val="right"/>
                            <w:rPr>
                              <w:rFonts w:ascii="Arial" w:hAnsi="Arial" w:cs="Arial"/>
                              <w:sz w:val="16"/>
                              <w:szCs w:val="16"/>
                            </w:rPr>
                          </w:pPr>
                          <w:r>
                            <w:rPr>
                              <w:rFonts w:ascii="Arial" w:hAnsi="Arial" w:cs="Arial"/>
                              <w:sz w:val="16"/>
                              <w:szCs w:val="16"/>
                            </w:rPr>
                            <w:t>P-GSN-3003 (2016-08-30) EERP – Electric FAQ</w:t>
                          </w:r>
                        </w:p>
                        <w:p w:rsidR="00170858" w:rsidRDefault="00170858"/>
                      </w:txbxContent>
                    </v:textbox>
                  </v:shape>
                </w:pict>
              </mc:Fallback>
            </mc:AlternateContent>
          </w:r>
          <w:r>
            <w:rPr>
              <w:noProof/>
              <w:lang w:eastAsia="en-CA"/>
            </w:rPr>
            <w:drawing>
              <wp:inline distT="0" distB="0" distL="0" distR="0">
                <wp:extent cx="1175444" cy="1084521"/>
                <wp:effectExtent l="19050" t="0" r="5656"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175444" cy="1084521"/>
                        </a:xfrm>
                        <a:prstGeom prst="rect">
                          <a:avLst/>
                        </a:prstGeom>
                        <a:noFill/>
                        <a:ln w="9525">
                          <a:noFill/>
                          <a:miter lim="800000"/>
                          <a:headEnd/>
                          <a:tailEnd/>
                        </a:ln>
                      </pic:spPr>
                    </pic:pic>
                  </a:graphicData>
                </a:graphic>
              </wp:inline>
            </w:drawing>
          </w:r>
        </w:p>
      </w:tc>
      <w:tc>
        <w:tcPr>
          <w:tcW w:w="3585" w:type="dxa"/>
          <w:vAlign w:val="bottom"/>
        </w:tcPr>
        <w:p w:rsidR="00170858" w:rsidRDefault="004373C1">
          <w:pPr>
            <w:pStyle w:val="Footer"/>
          </w:pPr>
          <w:r>
            <w:rPr>
              <w:noProof/>
              <w:lang w:val="en-US" w:eastAsia="zh-TW"/>
            </w:rPr>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-553085</wp:posOffset>
                    </wp:positionV>
                    <wp:extent cx="2033270" cy="613410"/>
                    <wp:effectExtent l="13970" t="8890" r="10160" b="63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613410"/>
                            </a:xfrm>
                            <a:prstGeom prst="rect">
                              <a:avLst/>
                            </a:prstGeom>
                            <a:solidFill>
                              <a:srgbClr val="FFFFFF"/>
                            </a:solidFill>
                            <a:ln w="9525">
                              <a:solidFill>
                                <a:schemeClr val="bg1">
                                  <a:lumMod val="100000"/>
                                  <a:lumOff val="0"/>
                                </a:schemeClr>
                              </a:solidFill>
                              <a:miter lim="800000"/>
                              <a:headEnd/>
                              <a:tailEnd/>
                            </a:ln>
                          </wps:spPr>
                          <wps:txbx>
                            <w:txbxContent>
                              <w:p w:rsidR="00170858" w:rsidRDefault="004373C1">
                                <w:r>
                                  <w:rPr>
                                    <w:noProof/>
                                    <w:lang w:eastAsia="en-CA"/>
                                  </w:rPr>
                                  <w:drawing>
                                    <wp:inline distT="0" distB="0" distL="0" distR="0">
                                      <wp:extent cx="1690922" cy="443552"/>
                                      <wp:effectExtent l="19050" t="0" r="4528"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3" cstate="print"/>
                                              <a:stretch>
                                                <a:fillRect/>
                                              </a:stretch>
                                            </pic:blipFill>
                                            <pic:spPr>
                                              <a:xfrm>
                                                <a:off x="0" y="0"/>
                                                <a:ext cx="1699373" cy="4457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1pt;margin-top:-43.55pt;width:160.1pt;height:4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" strokecolor="white [3212]">
                    <v:textbox>
                      <w:txbxContent>
                        <w:p w:rsidR="00170858" w:rsidRDefault="004373C1">
                          <w:r>
                            <w:rPr>
                              <w:noProof/>
                              <w:lang w:eastAsia="en-CA"/>
                            </w:rPr>
                            <w:drawing>
                              <wp:inline distT="0" distB="0" distL="0" distR="0">
                                <wp:extent cx="1690922" cy="443552"/>
                                <wp:effectExtent l="19050" t="0" r="4528"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3" cstate="print"/>
                                        <a:stretch>
                                          <a:fillRect/>
                                        </a:stretch>
                                      </pic:blipFill>
                                      <pic:spPr>
                                        <a:xfrm>
                                          <a:off x="0" y="0"/>
                                          <a:ext cx="1699373" cy="445769"/>
                                        </a:xfrm>
                                        <a:prstGeom prst="rect">
                                          <a:avLst/>
                                        </a:prstGeom>
                                      </pic:spPr>
                                    </pic:pic>
                                  </a:graphicData>
                                </a:graphic>
                              </wp:inline>
                            </w:drawing>
                          </w:r>
                        </w:p>
                      </w:txbxContent>
                    </v:textbox>
                  </v:shape>
                </w:pict>
              </mc:Fallback>
            </mc:AlternateContent>
          </w:r>
        </w:p>
      </w:tc>
    </w:tr>
  </w:tbl>
  <w:p w:rsidR="00170858" w:rsidRDefault="00170858">
    <w:pPr>
      <w:pStyle w:val="Footer"/>
      <w:rPr>
        <w:rFonts w:asciiTheme="minorHAnsi" w:hAnsiTheme="minorHAnsi" w:cstheme="minorHAnsi"/>
        <w:sz w:val="20"/>
        <w:szCs w:val="20"/>
      </w:rPr>
    </w:pPr>
  </w:p>
  <w:p w:rsidR="00170858" w:rsidRDefault="0017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858" w:rsidRDefault="004373C1">
      <w:r>
        <w:separator/>
      </w:r>
    </w:p>
  </w:footnote>
  <w:footnote w:type="continuationSeparator" w:id="0">
    <w:p w:rsidR="00170858" w:rsidRDefault="0043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58" w:rsidRDefault="00170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58" w:rsidRDefault="004373C1">
    <w:pPr>
      <w:rPr>
        <w:rFonts w:ascii="Helvetica" w:hAnsi="Helvetica" w:cs="Helvetica"/>
        <w:color w:val="7F7F7F" w:themeColor="text1" w:themeTint="80"/>
        <w:sz w:val="20"/>
      </w:rPr>
    </w:pPr>
    <w:r>
      <w:rPr>
        <w:rStyle w:val="Heading1Char"/>
        <w:sz w:val="22"/>
        <w:szCs w:val="22"/>
      </w:rPr>
      <w:t>Energy Efficiency Retrofit Program</w:t>
    </w:r>
    <w:r>
      <w:t xml:space="preserve"> </w:t>
    </w:r>
    <w:r>
      <w:rPr>
        <w:rFonts w:ascii="Verdana" w:hAnsi="Verdana"/>
        <w:b/>
        <w:bCs/>
        <w:color w:val="808080"/>
      </w:rPr>
      <w:t>|</w:t>
    </w:r>
    <w:r>
      <w:t xml:space="preserve"> </w:t>
    </w:r>
    <w:r>
      <w:rPr>
        <w:rFonts w:ascii="Helvetica" w:hAnsi="Helvetica" w:cs="Helvetica"/>
        <w:color w:val="7F7F7F" w:themeColor="text1" w:themeTint="80"/>
      </w:rPr>
      <w:t>Frequently Asked Questions</w:t>
    </w:r>
    <w:r>
      <w:rPr>
        <w:rFonts w:ascii="Helvetica" w:hAnsi="Helvetica" w:cs="Helvetica"/>
        <w:color w:val="7F7F7F" w:themeColor="text1" w:themeTint="80"/>
        <w:sz w:val="20"/>
      </w:rPr>
      <w:tab/>
    </w:r>
    <w:r>
      <w:rPr>
        <w:rFonts w:ascii="Helvetica" w:hAnsi="Helvetica" w:cs="Helvetica"/>
        <w:color w:val="7F7F7F" w:themeColor="text1" w:themeTint="80"/>
        <w:sz w:val="20"/>
      </w:rPr>
      <w:tab/>
    </w:r>
    <w:r>
      <w:rPr>
        <w:rFonts w:ascii="Helvetica" w:hAnsi="Helvetica" w:cs="Helvetica"/>
        <w:color w:val="7F7F7F" w:themeColor="text1" w:themeTint="80"/>
        <w:sz w:val="20"/>
      </w:rPr>
      <w:tab/>
    </w:r>
    <w:r>
      <w:rPr>
        <w:rFonts w:ascii="Helvetica" w:hAnsi="Helvetica" w:cs="Helvetica"/>
        <w:color w:val="7F7F7F" w:themeColor="text1" w:themeTint="80"/>
        <w:sz w:val="20"/>
      </w:rPr>
      <w:tab/>
    </w:r>
    <w:r>
      <w:rPr>
        <w:rFonts w:ascii="Helvetica" w:hAnsi="Helvetica" w:cs="Helvetica"/>
        <w:color w:val="7F7F7F" w:themeColor="text1" w:themeTint="80"/>
        <w:sz w:val="20"/>
      </w:rPr>
      <w:tab/>
    </w:r>
    <w:r>
      <w:rPr>
        <w:rFonts w:ascii="Helvetica" w:hAnsi="Helvetica" w:cs="Helvetica"/>
        <w:color w:val="7F7F7F" w:themeColor="background1" w:themeShade="7F"/>
        <w:spacing w:val="60"/>
      </w:rPr>
      <w:t>Page</w:t>
    </w:r>
    <w:r>
      <w:rPr>
        <w:rFonts w:ascii="Helvetica" w:hAnsi="Helvetica" w:cs="Helvetica"/>
        <w:color w:val="7F7F7F" w:themeColor="text1" w:themeTint="80"/>
      </w:rPr>
      <w:t xml:space="preserve"> | </w:t>
    </w:r>
    <w:r>
      <w:rPr>
        <w:rFonts w:ascii="Helvetica" w:hAnsi="Helvetica" w:cs="Helvetica"/>
        <w:color w:val="7F7F7F" w:themeColor="text1" w:themeTint="80"/>
      </w:rPr>
      <w:fldChar w:fldCharType="begin"/>
    </w:r>
    <w:r>
      <w:rPr>
        <w:rFonts w:ascii="Helvetica" w:hAnsi="Helvetica" w:cs="Helvetica"/>
        <w:color w:val="7F7F7F" w:themeColor="text1" w:themeTint="80"/>
      </w:rPr>
      <w:instrText xml:space="preserve"> PAGE   \* MERGEFORMAT </w:instrText>
    </w:r>
    <w:r>
      <w:rPr>
        <w:rFonts w:ascii="Helvetica" w:hAnsi="Helvetica" w:cs="Helvetica"/>
        <w:color w:val="7F7F7F" w:themeColor="text1" w:themeTint="80"/>
      </w:rPr>
      <w:fldChar w:fldCharType="separate"/>
    </w:r>
    <w:r w:rsidRPr="004373C1">
      <w:rPr>
        <w:rFonts w:ascii="Helvetica" w:hAnsi="Helvetica" w:cs="Helvetica"/>
        <w:b/>
        <w:noProof/>
        <w:color w:val="7F7F7F" w:themeColor="text1" w:themeTint="80"/>
      </w:rPr>
      <w:t>2</w:t>
    </w:r>
    <w:r>
      <w:rPr>
        <w:rFonts w:ascii="Helvetica" w:hAnsi="Helvetica" w:cs="Helvetica"/>
        <w:color w:val="7F7F7F" w:themeColor="text1" w:themeTint="80"/>
      </w:rPr>
      <w:fldChar w:fldCharType="end"/>
    </w:r>
  </w:p>
  <w:p w:rsidR="00170858" w:rsidRDefault="004373C1">
    <w:r>
      <w:rPr>
        <w:noProof/>
        <w:lang w:eastAsia="en-CA"/>
      </w:rPr>
      <mc:AlternateContent>
        <mc:Choice Requires="wps">
          <w:drawing>
            <wp:anchor distT="0" distB="0" distL="114300" distR="114300" simplePos="0" relativeHeight="251665408" behindDoc="0" locked="0" layoutInCell="1" allowOverlap="1">
              <wp:simplePos x="0" y="0"/>
              <wp:positionH relativeFrom="column">
                <wp:posOffset>-87630</wp:posOffset>
              </wp:positionH>
              <wp:positionV relativeFrom="paragraph">
                <wp:posOffset>70485</wp:posOffset>
              </wp:positionV>
              <wp:extent cx="6840220" cy="0"/>
              <wp:effectExtent l="17145" t="13335" r="10160" b="1524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678E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1604A" id="_x0000_t32" coordsize="21600,21600" o:spt="32" o:oned="t" path="m,l21600,21600e" filled="f">
              <v:path arrowok="t" fillok="f" o:connecttype="none"/>
              <o:lock v:ext="edit" shapetype="t"/>
            </v:shapetype>
            <v:shape id="AutoShape 5" o:spid="_x0000_s1026" type="#_x0000_t32" style="position:absolute;margin-left:-6.9pt;margin-top:5.55pt;width:538.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" strokecolor="#678ea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58" w:rsidRDefault="004373C1">
    <w:pPr>
      <w:pStyle w:val="Heading1"/>
      <w:numPr>
        <w:ilvl w:val="0"/>
        <w:numId w:val="0"/>
      </w:numPr>
      <w:rPr>
        <w:sz w:val="32"/>
        <w:szCs w:val="32"/>
      </w:rPr>
    </w:pPr>
    <w:r>
      <w:rPr>
        <w:sz w:val="32"/>
        <w:szCs w:val="32"/>
      </w:rPr>
      <w:t>Energy Efficiency Retrofit Program - Electric</w:t>
    </w:r>
  </w:p>
  <w:p w:rsidR="00170858" w:rsidRDefault="004373C1">
    <w:pPr>
      <w:rPr>
        <w:rFonts w:ascii="Helvetica" w:hAnsi="Helvetica" w:cs="Helvetica"/>
        <w:color w:val="7F7F7F" w:themeColor="text1" w:themeTint="80"/>
        <w:sz w:val="44"/>
        <w:szCs w:val="44"/>
      </w:rPr>
    </w:pPr>
    <w:r>
      <w:rPr>
        <w:rFonts w:ascii="Helvetica" w:hAnsi="Helvetica" w:cs="Helvetica"/>
        <w:color w:val="7F7F7F" w:themeColor="text1" w:themeTint="80"/>
        <w:sz w:val="44"/>
        <w:szCs w:val="44"/>
      </w:rPr>
      <w:t>Frequently Asked Questions</w:t>
    </w:r>
  </w:p>
  <w:p w:rsidR="00170858" w:rsidRDefault="004373C1">
    <w:pPr>
      <w:rPr>
        <w:sz w:val="14"/>
        <w:szCs w:val="14"/>
      </w:rPr>
    </w:pPr>
    <w:r>
      <w:rPr>
        <w:noProof/>
        <w:lang w:eastAsia="en-CA"/>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8255</wp:posOffset>
              </wp:positionV>
              <wp:extent cx="6840220" cy="0"/>
              <wp:effectExtent l="17145" t="17780" r="10160" b="1079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678E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CFAB9" id="_x0000_t32" coordsize="21600,21600" o:spt="32" o:oned="t" path="m,l21600,21600e" filled="f">
              <v:path arrowok="t" fillok="f" o:connecttype="none"/>
              <o:lock v:ext="edit" shapetype="t"/>
            </v:shapetype>
            <v:shape id="AutoShape 4" o:spid="_x0000_s1026" type="#_x0000_t32" style="position:absolute;margin-left:-6.9pt;margin-top:.65pt;width:538.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" strokecolor="#678ea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0.75pt" o:bullet="t">
        <v:imagedata r:id="rId1" o:title="bullet"/>
      </v:shape>
    </w:pict>
  </w:numPicBullet>
  <w:abstractNum w:abstractNumId="0" w15:restartNumberingAfterBreak="0">
    <w:nsid w:val="24020A74"/>
    <w:multiLevelType w:val="hybridMultilevel"/>
    <w:tmpl w:val="5142DA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ADB4207"/>
    <w:multiLevelType w:val="hybridMultilevel"/>
    <w:tmpl w:val="8F9CF34C"/>
    <w:lvl w:ilvl="0" w:tplc="10090001">
      <w:start w:val="1"/>
      <w:numFmt w:val="bullet"/>
      <w:lvlText w:val=""/>
      <w:lvlJc w:val="left"/>
      <w:pPr>
        <w:ind w:left="586" w:hanging="360"/>
      </w:pPr>
      <w:rPr>
        <w:rFonts w:ascii="Symbol" w:hAnsi="Symbol" w:hint="default"/>
      </w:rPr>
    </w:lvl>
    <w:lvl w:ilvl="1" w:tplc="10090003" w:tentative="1">
      <w:start w:val="1"/>
      <w:numFmt w:val="bullet"/>
      <w:lvlText w:val="o"/>
      <w:lvlJc w:val="left"/>
      <w:pPr>
        <w:ind w:left="1306" w:hanging="360"/>
      </w:pPr>
      <w:rPr>
        <w:rFonts w:ascii="Courier New" w:hAnsi="Courier New" w:cs="Courier New" w:hint="default"/>
      </w:rPr>
    </w:lvl>
    <w:lvl w:ilvl="2" w:tplc="10090005" w:tentative="1">
      <w:start w:val="1"/>
      <w:numFmt w:val="bullet"/>
      <w:lvlText w:val=""/>
      <w:lvlJc w:val="left"/>
      <w:pPr>
        <w:ind w:left="2026" w:hanging="360"/>
      </w:pPr>
      <w:rPr>
        <w:rFonts w:ascii="Wingdings" w:hAnsi="Wingdings" w:hint="default"/>
      </w:rPr>
    </w:lvl>
    <w:lvl w:ilvl="3" w:tplc="10090001" w:tentative="1">
      <w:start w:val="1"/>
      <w:numFmt w:val="bullet"/>
      <w:lvlText w:val=""/>
      <w:lvlJc w:val="left"/>
      <w:pPr>
        <w:ind w:left="2746" w:hanging="360"/>
      </w:pPr>
      <w:rPr>
        <w:rFonts w:ascii="Symbol" w:hAnsi="Symbol" w:hint="default"/>
      </w:rPr>
    </w:lvl>
    <w:lvl w:ilvl="4" w:tplc="10090003" w:tentative="1">
      <w:start w:val="1"/>
      <w:numFmt w:val="bullet"/>
      <w:lvlText w:val="o"/>
      <w:lvlJc w:val="left"/>
      <w:pPr>
        <w:ind w:left="3466" w:hanging="360"/>
      </w:pPr>
      <w:rPr>
        <w:rFonts w:ascii="Courier New" w:hAnsi="Courier New" w:cs="Courier New" w:hint="default"/>
      </w:rPr>
    </w:lvl>
    <w:lvl w:ilvl="5" w:tplc="10090005" w:tentative="1">
      <w:start w:val="1"/>
      <w:numFmt w:val="bullet"/>
      <w:lvlText w:val=""/>
      <w:lvlJc w:val="left"/>
      <w:pPr>
        <w:ind w:left="4186" w:hanging="360"/>
      </w:pPr>
      <w:rPr>
        <w:rFonts w:ascii="Wingdings" w:hAnsi="Wingdings" w:hint="default"/>
      </w:rPr>
    </w:lvl>
    <w:lvl w:ilvl="6" w:tplc="10090001" w:tentative="1">
      <w:start w:val="1"/>
      <w:numFmt w:val="bullet"/>
      <w:lvlText w:val=""/>
      <w:lvlJc w:val="left"/>
      <w:pPr>
        <w:ind w:left="4906" w:hanging="360"/>
      </w:pPr>
      <w:rPr>
        <w:rFonts w:ascii="Symbol" w:hAnsi="Symbol" w:hint="default"/>
      </w:rPr>
    </w:lvl>
    <w:lvl w:ilvl="7" w:tplc="10090003" w:tentative="1">
      <w:start w:val="1"/>
      <w:numFmt w:val="bullet"/>
      <w:lvlText w:val="o"/>
      <w:lvlJc w:val="left"/>
      <w:pPr>
        <w:ind w:left="5626" w:hanging="360"/>
      </w:pPr>
      <w:rPr>
        <w:rFonts w:ascii="Courier New" w:hAnsi="Courier New" w:cs="Courier New" w:hint="default"/>
      </w:rPr>
    </w:lvl>
    <w:lvl w:ilvl="8" w:tplc="10090005" w:tentative="1">
      <w:start w:val="1"/>
      <w:numFmt w:val="bullet"/>
      <w:lvlText w:val=""/>
      <w:lvlJc w:val="left"/>
      <w:pPr>
        <w:ind w:left="6346" w:hanging="360"/>
      </w:pPr>
      <w:rPr>
        <w:rFonts w:ascii="Wingdings" w:hAnsi="Wingdings" w:hint="default"/>
      </w:rPr>
    </w:lvl>
  </w:abstractNum>
  <w:abstractNum w:abstractNumId="2" w15:restartNumberingAfterBreak="0">
    <w:nsid w:val="39971798"/>
    <w:multiLevelType w:val="hybridMultilevel"/>
    <w:tmpl w:val="B882D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A33240"/>
    <w:multiLevelType w:val="hybridMultilevel"/>
    <w:tmpl w:val="9154CD24"/>
    <w:lvl w:ilvl="0" w:tplc="69F8B0B0">
      <w:start w:val="1"/>
      <w:numFmt w:val="bullet"/>
      <w:pStyle w:val="Heading1"/>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D44D81"/>
    <w:multiLevelType w:val="hybridMultilevel"/>
    <w:tmpl w:val="A4F838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62" style="mso-height-percent:200;mso-width-relative:margin;mso-height-relative:margin" fillcolor="white">
      <v:fill color="white"/>
      <v:textbox style="mso-fit-shape-to-text:t"/>
    </o:shapedefaults>
    <o:shapelayout v:ext="edit">
      <o:rules v:ext="edit">
        <o:r id="V:Rule3" type="connector" idref="#_x0000_s2053"/>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58"/>
    <w:rsid w:val="00170858"/>
    <w:rsid w:val="004373C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62" style="mso-height-percent:200;mso-width-relative:margin;mso-height-relative:margin" fillcolor="white">
      <v:fill color="white"/>
      <v:textbox style="mso-fit-shape-to-text:t"/>
    </o:shapedefaults>
    <o:shapelayout v:ext="edit">
      <o:idmap v:ext="edit" data="1"/>
    </o:shapelayout>
  </w:shapeDefaults>
  <w:decimalSymbol w:val="."/>
  <w:listSeparator w:val=","/>
  <w15:docId w15:val="{FB7D0074-D905-4A4F-93D4-1974EE50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40" w:lineRule="auto"/>
    </w:pPr>
    <w:rPr>
      <w:rFonts w:ascii="Corbel" w:eastAsia="SimSun" w:hAnsi="Corbel" w:cs="Times New Roman"/>
    </w:rPr>
  </w:style>
  <w:style w:type="paragraph" w:styleId="Heading1">
    <w:name w:val="heading 1"/>
    <w:basedOn w:val="Normal"/>
    <w:next w:val="Normal"/>
    <w:link w:val="Heading1Char"/>
    <w:qFormat/>
    <w:pPr>
      <w:keepNext/>
      <w:keepLines/>
      <w:numPr>
        <w:numId w:val="5"/>
      </w:numPr>
      <w:spacing w:after="60"/>
      <w:ind w:left="426" w:hanging="426"/>
      <w:outlineLvl w:val="0"/>
    </w:pPr>
    <w:rPr>
      <w:rFonts w:ascii="Helvetica" w:eastAsiaTheme="majorEastAsia" w:hAnsi="Helvetica" w:cs="Helvetica"/>
      <w:bCs/>
      <w:color w:val="678E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Helvetica" w:eastAsiaTheme="majorEastAsia" w:hAnsi="Helvetica" w:cs="Helvetica"/>
      <w:bCs/>
      <w:color w:val="678EA0"/>
      <w:sz w:val="28"/>
      <w:szCs w:val="28"/>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themeColor="hyperlink"/>
      <w:u w:val="single"/>
    </w:rPr>
  </w:style>
  <w:style w:type="table" w:styleId="LightGrid-Accent5">
    <w:name w:val="Light Grid Accent 5"/>
    <w:basedOn w:val="TableNormal"/>
    <w:uiPriority w:val="62"/>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Corbel" w:eastAsia="SimSun" w:hAnsi="Corbel"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rbel" w:eastAsia="SimSun" w:hAnsi="Corbe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orbel" w:eastAsia="SimSun" w:hAnsi="Corbe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hydro.com/powersmart/business/commercial/power_smart_partners/psp_expres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chydro.com/powersmart/business/commercial/power_smart_partners/psp_express.html" TargetMode="External"/><Relationship Id="rId4" Type="http://schemas.openxmlformats.org/officeDocument/2006/relationships/settings" Target="settings.xml"/><Relationship Id="rId9" Type="http://schemas.openxmlformats.org/officeDocument/2006/relationships/hyperlink" Target="mailto:energy@bchousing.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EEC3-9F44-491D-9839-1AEDB2C3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39241708</Template>
  <TotalTime>1</TotalTime>
  <Pages>2</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Energy Efficiency Retrofit Program - Electric - FAQs</vt:lpstr>
    </vt:vector>
  </TitlesOfParts>
  <Company>BC Housing</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Retrofit Program - Electric - FAQs</dc:title>
  <dc:subject>Frequently asked questions regarding electrical issues for the Energy Efficiency Retrofit Program.</dc:subject>
  <dc:creator>amura</dc:creator>
  <cp:lastModifiedBy>Susan Kemble</cp:lastModifiedBy>
  <cp:revision>2</cp:revision>
  <cp:lastPrinted>2015-04-07T18:48:00Z</cp:lastPrinted>
  <dcterms:created xsi:type="dcterms:W3CDTF">2018-05-01T23:02:00Z</dcterms:created>
  <dcterms:modified xsi:type="dcterms:W3CDTF">2018-05-01T23:02:00Z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ECM4_3540433</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vsharma</vt:lpwstr>
  </property>
  <property fmtid="{D5CDD505-2E9C-101B-9397-08002B2CF9AE}" pid="6" name="DISdID">
    <vt:lpwstr>4095345</vt:lpwstr>
  </property>
  <property fmtid="{D5CDD505-2E9C-101B-9397-08002B2CF9AE}" pid="7" name="DISidcName">
    <vt:lpwstr>wccwl1bchousingorg16200</vt:lpwstr>
  </property>
  <property fmtid="{D5CDD505-2E9C-101B-9397-08002B2CF9AE}" pid="8" name="DISTaskPaneUrl">
    <vt:lpwstr>http://wccm1.bchousing.org/cs/idcplg?IdcService=DESKTOP_DOC_INFO&amp;dDocName=ECM4_3540433&amp;dID=4095345&amp;ClientControlled=DocMan,taskpane&amp;coreContentOnly=1</vt:lpwstr>
  </property>
</Properties>
</file>