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8B8C" w14:textId="77777777" w:rsidR="00123E19" w:rsidRDefault="00123E19" w:rsidP="00123E19">
      <w:pPr>
        <w:pStyle w:val="Heading1"/>
        <w:jc w:val="center"/>
      </w:pPr>
      <w:bookmarkStart w:id="0" w:name="_Toc201135466"/>
      <w:r w:rsidRPr="00883DFD">
        <w:t>Appendix E – Employment for Equity Seeking Groups</w:t>
      </w:r>
      <w:bookmarkEnd w:id="0"/>
    </w:p>
    <w:p w14:paraId="43EA42D7" w14:textId="77777777" w:rsidR="00123E19" w:rsidRPr="00883DFD" w:rsidRDefault="00123E19" w:rsidP="00123E19"/>
    <w:tbl>
      <w:tblPr>
        <w:tblStyle w:val="TableGrid"/>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5821"/>
      </w:tblGrid>
      <w:tr w:rsidR="00123E19" w:rsidRPr="00FC6F75" w14:paraId="359B387A" w14:textId="77777777" w:rsidTr="00E96D48">
        <w:trPr>
          <w:trHeight w:val="300"/>
        </w:trPr>
        <w:tc>
          <w:tcPr>
            <w:tcW w:w="3539" w:type="dxa"/>
            <w:shd w:val="clear" w:color="auto" w:fill="D9D9D9" w:themeFill="background1" w:themeFillShade="D9"/>
            <w:tcMar>
              <w:left w:w="108" w:type="dxa"/>
              <w:right w:w="108" w:type="dxa"/>
            </w:tcMar>
          </w:tcPr>
          <w:p w14:paraId="0D1308CD" w14:textId="77777777" w:rsidR="00123E19" w:rsidRPr="00FC6F75" w:rsidRDefault="00123E19" w:rsidP="00E96D48">
            <w:pPr>
              <w:spacing w:before="60" w:after="60"/>
              <w:ind w:left="164" w:right="0" w:firstLine="0"/>
              <w:rPr>
                <w:rFonts w:eastAsia="Source Sans Pro" w:cs="Source Sans Pro"/>
                <w:b/>
                <w:bCs/>
                <w:lang w:val="en"/>
              </w:rPr>
            </w:pPr>
            <w:r w:rsidRPr="00FC6F75">
              <w:rPr>
                <w:rFonts w:eastAsia="Source Sans Pro" w:cs="Source Sans Pro"/>
                <w:b/>
                <w:bCs/>
                <w:lang w:val="en"/>
              </w:rPr>
              <w:t>Equity Seeking Groups</w:t>
            </w:r>
          </w:p>
        </w:tc>
        <w:tc>
          <w:tcPr>
            <w:tcW w:w="5821" w:type="dxa"/>
            <w:shd w:val="clear" w:color="auto" w:fill="D9D9D9" w:themeFill="background1" w:themeFillShade="D9"/>
            <w:tcMar>
              <w:left w:w="108" w:type="dxa"/>
              <w:right w:w="108" w:type="dxa"/>
            </w:tcMar>
          </w:tcPr>
          <w:p w14:paraId="2E455A05" w14:textId="77777777" w:rsidR="00123E19" w:rsidRPr="00FC6F75" w:rsidRDefault="00123E19" w:rsidP="00E96D48">
            <w:pPr>
              <w:spacing w:before="60" w:after="60"/>
              <w:ind w:left="173" w:firstLine="31"/>
              <w:rPr>
                <w:rFonts w:eastAsia="Source Sans Pro" w:cs="Source Sans Pro"/>
                <w:b/>
                <w:bCs/>
                <w:lang w:val="en"/>
              </w:rPr>
            </w:pPr>
            <w:r w:rsidRPr="00FC6F75">
              <w:rPr>
                <w:rFonts w:eastAsia="Source Sans Pro" w:cs="Source Sans Pro"/>
                <w:b/>
                <w:bCs/>
                <w:lang w:val="en"/>
              </w:rPr>
              <w:t>Individuals for Employment</w:t>
            </w:r>
            <w:r>
              <w:rPr>
                <w:rFonts w:eastAsia="Source Sans Pro" w:cs="Source Sans Pro"/>
                <w:b/>
                <w:bCs/>
                <w:lang w:val="en"/>
              </w:rPr>
              <w:t xml:space="preserve"> </w:t>
            </w:r>
            <w:r w:rsidRPr="00FC6F75">
              <w:rPr>
                <w:rFonts w:eastAsia="Source Sans Pro" w:cs="Source Sans Pro"/>
                <w:b/>
                <w:bCs/>
                <w:lang w:val="en"/>
              </w:rPr>
              <w:t>Definition</w:t>
            </w:r>
          </w:p>
        </w:tc>
      </w:tr>
      <w:tr w:rsidR="00123E19" w:rsidRPr="007C52EF" w14:paraId="47B64C64" w14:textId="77777777" w:rsidTr="00E96D48">
        <w:trPr>
          <w:trHeight w:val="300"/>
        </w:trPr>
        <w:tc>
          <w:tcPr>
            <w:tcW w:w="3539" w:type="dxa"/>
            <w:tcMar>
              <w:left w:w="108" w:type="dxa"/>
              <w:right w:w="108" w:type="dxa"/>
            </w:tcMar>
          </w:tcPr>
          <w:p w14:paraId="1ED25ED0" w14:textId="77777777" w:rsidR="00123E19" w:rsidRPr="00DC6ACA" w:rsidRDefault="00123E19" w:rsidP="00E96D48">
            <w:pPr>
              <w:ind w:left="165" w:firstLine="0"/>
              <w:rPr>
                <w:b/>
                <w:bCs/>
              </w:rPr>
            </w:pPr>
            <w:r w:rsidRPr="00F56AB6">
              <w:rPr>
                <w:rFonts w:eastAsia="Source Sans Pro" w:cs="Source Sans Pro"/>
                <w:b/>
                <w:bCs/>
                <w:lang w:val="en"/>
              </w:rPr>
              <w:t>Indigenous Peoples</w:t>
            </w:r>
          </w:p>
        </w:tc>
        <w:tc>
          <w:tcPr>
            <w:tcW w:w="5821" w:type="dxa"/>
            <w:tcMar>
              <w:left w:w="108" w:type="dxa"/>
              <w:right w:w="108" w:type="dxa"/>
            </w:tcMar>
          </w:tcPr>
          <w:p w14:paraId="078C17C6" w14:textId="77777777" w:rsidR="00123E19" w:rsidRDefault="00123E19" w:rsidP="00E96D48">
            <w:pPr>
              <w:ind w:left="174" w:firstLine="0"/>
              <w:rPr>
                <w:rFonts w:ascii="Source Sans Pro" w:eastAsia="Source Sans Pro" w:hAnsi="Source Sans Pro" w:cs="Source Sans Pro"/>
              </w:rPr>
            </w:pPr>
            <w:r w:rsidRPr="00F56AB6">
              <w:rPr>
                <w:rFonts w:ascii="Source Sans Pro" w:eastAsia="Source Sans Pro" w:hAnsi="Source Sans Pro" w:cs="Source Sans Pro"/>
              </w:rPr>
              <w:t>First Nations, Métis, and Inuit people. Sometimes used interchangeably with ‘Aboriginal Peoples’.</w:t>
            </w:r>
          </w:p>
          <w:p w14:paraId="2478C1FA" w14:textId="77777777" w:rsidR="00123E19" w:rsidRPr="00F56AB6" w:rsidRDefault="00123E19" w:rsidP="00E96D48">
            <w:pPr>
              <w:ind w:left="174" w:firstLine="0"/>
              <w:rPr>
                <w:rFonts w:ascii="Source Sans Pro" w:eastAsia="Source Sans Pro" w:hAnsi="Source Sans Pro" w:cs="Source Sans Pro"/>
              </w:rPr>
            </w:pPr>
          </w:p>
        </w:tc>
      </w:tr>
      <w:tr w:rsidR="00123E19" w:rsidRPr="007C52EF" w14:paraId="1A498C01" w14:textId="77777777" w:rsidTr="00E96D48">
        <w:trPr>
          <w:trHeight w:val="300"/>
        </w:trPr>
        <w:tc>
          <w:tcPr>
            <w:tcW w:w="3539" w:type="dxa"/>
            <w:tcMar>
              <w:left w:w="108" w:type="dxa"/>
              <w:right w:w="108" w:type="dxa"/>
            </w:tcMar>
          </w:tcPr>
          <w:p w14:paraId="379D777D" w14:textId="77777777" w:rsidR="00123E19" w:rsidRPr="00F56AB6" w:rsidRDefault="00123E19" w:rsidP="00E96D48">
            <w:pPr>
              <w:ind w:left="165" w:firstLine="0"/>
              <w:rPr>
                <w:b/>
                <w:bCs/>
              </w:rPr>
            </w:pPr>
            <w:r w:rsidRPr="00F56AB6">
              <w:rPr>
                <w:rFonts w:eastAsia="Source Sans Pro" w:cs="Source Sans Pro"/>
                <w:b/>
                <w:bCs/>
                <w:lang w:val="en"/>
              </w:rPr>
              <w:t>Racialized communities</w:t>
            </w:r>
          </w:p>
          <w:p w14:paraId="2EFDC41D" w14:textId="77777777" w:rsidR="00123E19" w:rsidRPr="00F56AB6" w:rsidRDefault="00123E19" w:rsidP="00E96D48">
            <w:pPr>
              <w:ind w:left="165" w:firstLine="0"/>
              <w:rPr>
                <w:b/>
                <w:bCs/>
              </w:rPr>
            </w:pPr>
            <w:r w:rsidRPr="00F56AB6">
              <w:rPr>
                <w:rFonts w:eastAsia="Source Sans Pro" w:cs="Source Sans Pro"/>
                <w:b/>
                <w:bCs/>
                <w:lang w:val="en"/>
              </w:rPr>
              <w:t xml:space="preserve"> </w:t>
            </w:r>
          </w:p>
        </w:tc>
        <w:tc>
          <w:tcPr>
            <w:tcW w:w="5821" w:type="dxa"/>
            <w:tcMar>
              <w:left w:w="108" w:type="dxa"/>
              <w:right w:w="108" w:type="dxa"/>
            </w:tcMar>
          </w:tcPr>
          <w:p w14:paraId="58594DDF" w14:textId="77777777" w:rsidR="00123E19" w:rsidRDefault="00123E19" w:rsidP="00E96D48">
            <w:pPr>
              <w:ind w:left="174" w:firstLine="0"/>
              <w:rPr>
                <w:rFonts w:ascii="Source Sans Pro" w:eastAsia="Source Sans Pro" w:hAnsi="Source Sans Pro" w:cs="Source Sans Pro"/>
                <w:lang w:val="en-US"/>
              </w:rPr>
            </w:pPr>
            <w:r w:rsidRPr="00F56AB6">
              <w:rPr>
                <w:rFonts w:ascii="Source Sans Pro" w:eastAsia="Source Sans Pro" w:hAnsi="Source Sans Pro" w:cs="Source Sans Pro"/>
                <w:lang w:val="en-US"/>
              </w:rPr>
              <w:t>Refers to an individual or group of individuals including those who are non-white, including Chinese, South Asian, Black, Filipino, Latin American, Southeast Asian, Arab, West Asian, Japanese, Korean, other visible minorities and multiple visible minorities. Racialized communities also include Indigenous People of nations outside of Canada. Often used interchangeably with “Visible minority group</w:t>
            </w:r>
            <w:r>
              <w:rPr>
                <w:rFonts w:ascii="Source Sans Pro" w:eastAsia="Source Sans Pro" w:hAnsi="Source Sans Pro" w:cs="Source Sans Pro"/>
                <w:lang w:val="en-US"/>
              </w:rPr>
              <w:t>.</w:t>
            </w:r>
            <w:r w:rsidRPr="00F56AB6">
              <w:rPr>
                <w:rFonts w:ascii="Source Sans Pro" w:eastAsia="Source Sans Pro" w:hAnsi="Source Sans Pro" w:cs="Source Sans Pro"/>
                <w:lang w:val="en-US"/>
              </w:rPr>
              <w:t>”</w:t>
            </w:r>
          </w:p>
          <w:p w14:paraId="750D4CD5" w14:textId="77777777" w:rsidR="00123E19" w:rsidRPr="00DC6ACA" w:rsidRDefault="00123E19" w:rsidP="00E96D48">
            <w:pPr>
              <w:ind w:left="174" w:firstLine="0"/>
              <w:rPr>
                <w:rFonts w:ascii="Source Sans Pro" w:eastAsia="Source Sans Pro" w:hAnsi="Source Sans Pro" w:cs="Source Sans Pro"/>
                <w:lang w:val="en-US"/>
              </w:rPr>
            </w:pPr>
          </w:p>
        </w:tc>
      </w:tr>
      <w:tr w:rsidR="00123E19" w:rsidRPr="007C52EF" w14:paraId="6C190029" w14:textId="77777777" w:rsidTr="00E96D48">
        <w:trPr>
          <w:trHeight w:val="300"/>
        </w:trPr>
        <w:tc>
          <w:tcPr>
            <w:tcW w:w="3539" w:type="dxa"/>
            <w:tcMar>
              <w:left w:w="108" w:type="dxa"/>
              <w:right w:w="108" w:type="dxa"/>
            </w:tcMar>
          </w:tcPr>
          <w:p w14:paraId="128CC953" w14:textId="77777777" w:rsidR="00123E19" w:rsidRPr="00F56AB6" w:rsidRDefault="00123E19" w:rsidP="00E96D48">
            <w:pPr>
              <w:ind w:left="165" w:firstLine="0"/>
              <w:rPr>
                <w:b/>
                <w:bCs/>
              </w:rPr>
            </w:pPr>
            <w:r w:rsidRPr="00F56AB6">
              <w:rPr>
                <w:rFonts w:eastAsia="Source Sans Pro" w:cs="Source Sans Pro"/>
                <w:b/>
                <w:bCs/>
                <w:lang w:val="en"/>
              </w:rPr>
              <w:t>Recent Immigrants and Refugees</w:t>
            </w:r>
          </w:p>
        </w:tc>
        <w:tc>
          <w:tcPr>
            <w:tcW w:w="5821" w:type="dxa"/>
            <w:tcMar>
              <w:left w:w="108" w:type="dxa"/>
              <w:right w:w="108" w:type="dxa"/>
            </w:tcMar>
          </w:tcPr>
          <w:p w14:paraId="3E142927" w14:textId="77777777" w:rsidR="00123E19" w:rsidRPr="00F56AB6" w:rsidRDefault="00123E19" w:rsidP="00E96D48">
            <w:pPr>
              <w:ind w:left="174" w:firstLine="0"/>
              <w:rPr>
                <w:rFonts w:ascii="Source Sans Pro" w:hAnsi="Source Sans Pro"/>
              </w:rPr>
            </w:pPr>
            <w:r w:rsidRPr="00F56AB6">
              <w:rPr>
                <w:rFonts w:ascii="Source Sans Pro" w:eastAsia="Source Sans Pro" w:hAnsi="Source Sans Pro" w:cs="Source Sans Pro"/>
                <w:lang w:val="en"/>
              </w:rPr>
              <w:t xml:space="preserve">Immigrant: A person who has been granted the right to live in Canada by immigration authorities and has resided in Canada for less than 5 years. </w:t>
            </w:r>
          </w:p>
          <w:p w14:paraId="267B9942" w14:textId="77777777" w:rsidR="00123E19" w:rsidRDefault="00123E19" w:rsidP="00E96D48">
            <w:pPr>
              <w:ind w:left="174" w:firstLine="0"/>
              <w:rPr>
                <w:rFonts w:ascii="Source Sans Pro" w:eastAsia="Source Sans Pro" w:hAnsi="Source Sans Pro" w:cs="Source Sans Pro"/>
                <w:lang w:val="en-US"/>
              </w:rPr>
            </w:pPr>
            <w:r w:rsidRPr="00F56AB6">
              <w:rPr>
                <w:rFonts w:ascii="Source Sans Pro" w:eastAsia="Source Sans Pro" w:hAnsi="Source Sans Pro" w:cs="Source Sans Pro"/>
                <w:lang w:val="en-US"/>
              </w:rPr>
              <w:t xml:space="preserve">Refugee: A person who is forced to flee from persecution and who is located outside of their home country. A person who has been recognized as a refugee and who has been granted the right to live in Canada by immigration authorities. </w:t>
            </w:r>
          </w:p>
          <w:p w14:paraId="6EB33584" w14:textId="77777777" w:rsidR="00123E19" w:rsidRPr="00F56AB6" w:rsidRDefault="00123E19" w:rsidP="00E96D48">
            <w:pPr>
              <w:ind w:left="174" w:firstLine="0"/>
              <w:rPr>
                <w:rFonts w:ascii="Source Sans Pro" w:hAnsi="Source Sans Pro"/>
              </w:rPr>
            </w:pPr>
          </w:p>
        </w:tc>
      </w:tr>
      <w:tr w:rsidR="00123E19" w:rsidRPr="007C52EF" w14:paraId="4E7099D6" w14:textId="77777777" w:rsidTr="00E96D48">
        <w:trPr>
          <w:trHeight w:val="300"/>
        </w:trPr>
        <w:tc>
          <w:tcPr>
            <w:tcW w:w="3539" w:type="dxa"/>
            <w:tcMar>
              <w:left w:w="108" w:type="dxa"/>
              <w:right w:w="108" w:type="dxa"/>
            </w:tcMar>
          </w:tcPr>
          <w:p w14:paraId="162824CD" w14:textId="77777777" w:rsidR="00123E19" w:rsidRPr="00F56AB6" w:rsidRDefault="00123E19" w:rsidP="00E96D48">
            <w:pPr>
              <w:ind w:left="165" w:firstLine="0"/>
              <w:rPr>
                <w:b/>
                <w:bCs/>
              </w:rPr>
            </w:pPr>
            <w:r w:rsidRPr="00F56AB6">
              <w:rPr>
                <w:rFonts w:eastAsia="Source Sans Pro" w:cs="Source Sans Pro"/>
                <w:b/>
                <w:bCs/>
                <w:lang w:val="en"/>
              </w:rPr>
              <w:t>Persons with</w:t>
            </w:r>
            <w:r w:rsidRPr="00F56AB6">
              <w:rPr>
                <w:rFonts w:eastAsia="Source Sans Pro" w:cs="Source Sans Pro"/>
                <w:b/>
                <w:bCs/>
                <w:strike/>
                <w:lang w:val="en"/>
              </w:rPr>
              <w:t xml:space="preserve"> </w:t>
            </w:r>
            <w:r w:rsidRPr="00F56AB6">
              <w:rPr>
                <w:rFonts w:eastAsia="Source Sans Pro" w:cs="Source Sans Pro"/>
                <w:b/>
                <w:bCs/>
                <w:lang w:val="en"/>
              </w:rPr>
              <w:t>disabilities/ Disabled Persons</w:t>
            </w:r>
          </w:p>
          <w:p w14:paraId="1D188259" w14:textId="77777777" w:rsidR="00123E19" w:rsidRPr="00F56AB6" w:rsidRDefault="00123E19" w:rsidP="00E96D48">
            <w:pPr>
              <w:ind w:left="165" w:firstLine="0"/>
              <w:rPr>
                <w:b/>
                <w:bCs/>
              </w:rPr>
            </w:pPr>
            <w:r w:rsidRPr="00F56AB6">
              <w:rPr>
                <w:rFonts w:eastAsia="Source Sans Pro" w:cs="Source Sans Pro"/>
                <w:b/>
                <w:bCs/>
                <w:lang w:val="en"/>
              </w:rPr>
              <w:t xml:space="preserve"> </w:t>
            </w:r>
          </w:p>
        </w:tc>
        <w:tc>
          <w:tcPr>
            <w:tcW w:w="5821" w:type="dxa"/>
            <w:tcMar>
              <w:left w:w="108" w:type="dxa"/>
              <w:right w:w="108" w:type="dxa"/>
            </w:tcMar>
          </w:tcPr>
          <w:p w14:paraId="504D5ACF" w14:textId="77777777" w:rsidR="00123E19" w:rsidRDefault="00123E19" w:rsidP="00E96D48">
            <w:pPr>
              <w:ind w:left="174" w:firstLine="0"/>
              <w:rPr>
                <w:rFonts w:ascii="Source Sans Pro" w:eastAsia="Source Sans Pro" w:hAnsi="Source Sans Pro" w:cs="Source Sans Pro"/>
              </w:rPr>
            </w:pPr>
            <w:r w:rsidRPr="00F56AB6">
              <w:rPr>
                <w:rFonts w:ascii="Source Sans Pro" w:eastAsia="Source Sans Pro" w:hAnsi="Source Sans Pro" w:cs="Source Sans Pro"/>
              </w:rPr>
              <w:t xml:space="preserve">A person with a long-term or recurring physical, mental, psychiatric, intellectual, or sensory impairment which, in interaction with various attitudinal and environmental barriers, hinders their full and effective participation in society on an equal basis with others. This is a self-defined characteristic and does not require an external or formal recognition of disability. </w:t>
            </w:r>
          </w:p>
          <w:p w14:paraId="42A1A62B" w14:textId="77777777" w:rsidR="00123E19" w:rsidRPr="00F56AB6" w:rsidRDefault="00123E19" w:rsidP="00E96D48">
            <w:pPr>
              <w:ind w:left="174" w:firstLine="0"/>
              <w:rPr>
                <w:rFonts w:ascii="Source Sans Pro" w:hAnsi="Source Sans Pro"/>
              </w:rPr>
            </w:pPr>
          </w:p>
        </w:tc>
      </w:tr>
      <w:tr w:rsidR="00123E19" w:rsidRPr="007C52EF" w14:paraId="12E446E2" w14:textId="77777777" w:rsidTr="00E96D48">
        <w:trPr>
          <w:trHeight w:val="300"/>
        </w:trPr>
        <w:tc>
          <w:tcPr>
            <w:tcW w:w="3539" w:type="dxa"/>
            <w:tcMar>
              <w:left w:w="108" w:type="dxa"/>
              <w:right w:w="108" w:type="dxa"/>
            </w:tcMar>
          </w:tcPr>
          <w:p w14:paraId="50CA74E4" w14:textId="77777777" w:rsidR="00123E19" w:rsidRPr="00F56AB6" w:rsidRDefault="00123E19" w:rsidP="00E96D48">
            <w:pPr>
              <w:ind w:left="165" w:firstLine="0"/>
              <w:rPr>
                <w:b/>
                <w:bCs/>
              </w:rPr>
            </w:pPr>
            <w:r w:rsidRPr="00F56AB6">
              <w:rPr>
                <w:rFonts w:eastAsia="Source Sans Pro" w:cs="Source Sans Pro"/>
                <w:b/>
                <w:bCs/>
                <w:lang w:val="en"/>
              </w:rPr>
              <w:t>Women</w:t>
            </w:r>
          </w:p>
        </w:tc>
        <w:tc>
          <w:tcPr>
            <w:tcW w:w="5821" w:type="dxa"/>
            <w:tcMar>
              <w:left w:w="108" w:type="dxa"/>
              <w:right w:w="108" w:type="dxa"/>
            </w:tcMar>
          </w:tcPr>
          <w:p w14:paraId="01F339FB" w14:textId="77777777" w:rsidR="00123E19" w:rsidRDefault="00123E19" w:rsidP="00E96D48">
            <w:pPr>
              <w:ind w:left="174" w:firstLine="0"/>
              <w:rPr>
                <w:rFonts w:ascii="Source Sans Pro" w:eastAsia="Source Sans Pro" w:hAnsi="Source Sans Pro" w:cs="Source Sans Pro"/>
                <w:lang w:val="en"/>
              </w:rPr>
            </w:pPr>
            <w:r w:rsidRPr="00F56AB6">
              <w:rPr>
                <w:rFonts w:ascii="Source Sans Pro" w:eastAsia="Source Sans Pro" w:hAnsi="Source Sans Pro" w:cs="Source Sans Pro"/>
                <w:lang w:val="en"/>
              </w:rPr>
              <w:t>Self-identified</w:t>
            </w:r>
          </w:p>
          <w:p w14:paraId="6B03FBEB" w14:textId="77777777" w:rsidR="00123E19" w:rsidRPr="00F56AB6" w:rsidRDefault="00123E19" w:rsidP="00E96D48">
            <w:pPr>
              <w:ind w:left="174" w:firstLine="0"/>
              <w:rPr>
                <w:rFonts w:ascii="Source Sans Pro" w:hAnsi="Source Sans Pro"/>
              </w:rPr>
            </w:pPr>
          </w:p>
        </w:tc>
      </w:tr>
      <w:tr w:rsidR="00123E19" w:rsidRPr="007C52EF" w14:paraId="59FDD326" w14:textId="77777777" w:rsidTr="00E96D48">
        <w:trPr>
          <w:trHeight w:val="300"/>
        </w:trPr>
        <w:tc>
          <w:tcPr>
            <w:tcW w:w="3539" w:type="dxa"/>
            <w:tcMar>
              <w:left w:w="108" w:type="dxa"/>
              <w:right w:w="108" w:type="dxa"/>
            </w:tcMar>
          </w:tcPr>
          <w:p w14:paraId="5A8014DB" w14:textId="77777777" w:rsidR="00123E19" w:rsidRPr="00F56AB6" w:rsidRDefault="00123E19" w:rsidP="00E96D48">
            <w:pPr>
              <w:ind w:left="165" w:firstLine="0"/>
              <w:rPr>
                <w:b/>
                <w:bCs/>
              </w:rPr>
            </w:pPr>
            <w:r w:rsidRPr="00F56AB6">
              <w:rPr>
                <w:rFonts w:eastAsia="Source Sans Pro" w:cs="Source Sans Pro"/>
                <w:b/>
                <w:bCs/>
                <w:lang w:val="en"/>
              </w:rPr>
              <w:lastRenderedPageBreak/>
              <w:t xml:space="preserve">Members of the </w:t>
            </w:r>
            <w:r w:rsidRPr="00F56AB6">
              <w:rPr>
                <w:rFonts w:cs="Arial"/>
                <w:b/>
                <w:bCs/>
                <w:lang w:eastAsia="en-CA"/>
              </w:rPr>
              <w:t>2SLGBTQIA+</w:t>
            </w:r>
            <w:r w:rsidRPr="00F56AB6">
              <w:rPr>
                <w:rFonts w:eastAsia="Source Sans Pro" w:cs="Source Sans Pro"/>
                <w:b/>
                <w:bCs/>
                <w:lang w:val="en"/>
              </w:rPr>
              <w:t xml:space="preserve"> community</w:t>
            </w:r>
          </w:p>
        </w:tc>
        <w:tc>
          <w:tcPr>
            <w:tcW w:w="5821" w:type="dxa"/>
            <w:tcMar>
              <w:left w:w="108" w:type="dxa"/>
              <w:right w:w="108" w:type="dxa"/>
            </w:tcMar>
          </w:tcPr>
          <w:p w14:paraId="7EACFDB5" w14:textId="77777777" w:rsidR="00123E19" w:rsidRDefault="00123E19" w:rsidP="00E96D48">
            <w:pPr>
              <w:ind w:left="174" w:firstLine="0"/>
              <w:rPr>
                <w:rFonts w:ascii="Source Sans Pro" w:eastAsia="Source Sans Pro" w:hAnsi="Source Sans Pro" w:cs="Source Sans Pro"/>
                <w:lang w:val="en"/>
              </w:rPr>
            </w:pPr>
            <w:r w:rsidRPr="00F56AB6">
              <w:rPr>
                <w:rFonts w:ascii="Source Sans Pro" w:eastAsia="Source Sans Pro" w:hAnsi="Source Sans Pro" w:cs="Source Sans Pro"/>
                <w:lang w:val="en"/>
              </w:rPr>
              <w:t>An acronym for lesbian, gay, bisexual, transgender, transsexual, queer, questioning, and 2-Spirit</w:t>
            </w:r>
            <w:r>
              <w:rPr>
                <w:rFonts w:ascii="Source Sans Pro" w:eastAsia="Source Sans Pro" w:hAnsi="Source Sans Pro" w:cs="Source Sans Pro"/>
                <w:lang w:val="en"/>
              </w:rPr>
              <w:t>.</w:t>
            </w:r>
          </w:p>
          <w:p w14:paraId="4D8DF506" w14:textId="77777777" w:rsidR="00123E19" w:rsidRPr="00F56AB6" w:rsidRDefault="00123E19" w:rsidP="00E96D48">
            <w:pPr>
              <w:ind w:left="174" w:firstLine="0"/>
              <w:rPr>
                <w:rFonts w:ascii="Source Sans Pro" w:hAnsi="Source Sans Pro"/>
              </w:rPr>
            </w:pPr>
          </w:p>
        </w:tc>
      </w:tr>
      <w:tr w:rsidR="00123E19" w:rsidRPr="007C52EF" w14:paraId="5C5EFBE2" w14:textId="77777777" w:rsidTr="00E96D48">
        <w:trPr>
          <w:trHeight w:val="300"/>
        </w:trPr>
        <w:tc>
          <w:tcPr>
            <w:tcW w:w="3539" w:type="dxa"/>
            <w:tcMar>
              <w:left w:w="108" w:type="dxa"/>
              <w:right w:w="108" w:type="dxa"/>
            </w:tcMar>
          </w:tcPr>
          <w:p w14:paraId="799A4F30" w14:textId="77777777" w:rsidR="00123E19" w:rsidRPr="00F56AB6" w:rsidRDefault="00123E19" w:rsidP="00E96D48">
            <w:pPr>
              <w:ind w:left="165" w:firstLine="0"/>
              <w:rPr>
                <w:b/>
                <w:bCs/>
              </w:rPr>
            </w:pPr>
            <w:r w:rsidRPr="00F56AB6">
              <w:rPr>
                <w:rFonts w:eastAsia="Source Sans Pro" w:cs="Source Sans Pro"/>
                <w:b/>
                <w:bCs/>
                <w:lang w:val="en"/>
              </w:rPr>
              <w:t xml:space="preserve">People identifying as experiencing other barriers to economic opportunity and participation (not included in other Equity-seeking group definitions) </w:t>
            </w:r>
          </w:p>
        </w:tc>
        <w:tc>
          <w:tcPr>
            <w:tcW w:w="5821" w:type="dxa"/>
            <w:tcMar>
              <w:left w:w="108" w:type="dxa"/>
              <w:right w:w="108" w:type="dxa"/>
            </w:tcMar>
          </w:tcPr>
          <w:p w14:paraId="2FDCE457" w14:textId="77777777" w:rsidR="00123E19" w:rsidRPr="00F56AB6" w:rsidRDefault="00123E19" w:rsidP="00E96D48">
            <w:pPr>
              <w:ind w:left="174" w:firstLine="0"/>
              <w:rPr>
                <w:rFonts w:ascii="Source Sans Pro" w:hAnsi="Source Sans Pro"/>
              </w:rPr>
            </w:pPr>
            <w:r w:rsidRPr="00F56AB6">
              <w:rPr>
                <w:rFonts w:ascii="Source Sans Pro" w:eastAsia="Source Sans Pro" w:hAnsi="Source Sans Pro" w:cs="Source Sans Pro"/>
                <w:lang w:val="en"/>
              </w:rPr>
              <w:t>A person who identifies as experiencing barriers to their economic opportunity and participation. This could include but is not limited to, an individual with a previous criminal conviction, an individual who identifies as having a drug or alcohol addiction that has affected their ability to participate economically, a person who has experienced domestic violence that has affected their ability to participate economically, a person who is currently experiencing or has experienced homelessness within the last 5 years, single parents, social housing tenants, and youth aging out of the foster care system</w:t>
            </w:r>
          </w:p>
          <w:p w14:paraId="4830B9D8" w14:textId="77777777" w:rsidR="00123E19" w:rsidRDefault="00123E19" w:rsidP="00E96D48">
            <w:pPr>
              <w:ind w:left="174" w:firstLine="0"/>
              <w:rPr>
                <w:rFonts w:ascii="Source Sans Pro" w:eastAsia="Source Sans Pro" w:hAnsi="Source Sans Pro" w:cs="Source Sans Pro"/>
                <w:lang w:val="en-US"/>
              </w:rPr>
            </w:pPr>
            <w:r w:rsidRPr="00F56AB6">
              <w:rPr>
                <w:rFonts w:ascii="Source Sans Pro" w:eastAsia="Source Sans Pro" w:hAnsi="Source Sans Pro" w:cs="Source Sans Pro"/>
                <w:lang w:val="en-US"/>
              </w:rPr>
              <w:t xml:space="preserve">If an employee identifies themselves in this category, you may consider asking for more information on what they consider this barrier to be – this is voluntary information. </w:t>
            </w:r>
          </w:p>
          <w:p w14:paraId="10565DF3" w14:textId="77777777" w:rsidR="00123E19" w:rsidRPr="00DC6ACA" w:rsidRDefault="00123E19" w:rsidP="00E96D48">
            <w:pPr>
              <w:ind w:left="174" w:firstLine="0"/>
              <w:rPr>
                <w:rFonts w:ascii="Source Sans Pro" w:eastAsia="Source Sans Pro" w:hAnsi="Source Sans Pro" w:cs="Source Sans Pro"/>
                <w:lang w:val="en-US"/>
              </w:rPr>
            </w:pPr>
          </w:p>
        </w:tc>
      </w:tr>
      <w:tr w:rsidR="00123E19" w:rsidRPr="007C52EF" w14:paraId="56739752" w14:textId="77777777" w:rsidTr="00E96D48">
        <w:trPr>
          <w:trHeight w:val="300"/>
        </w:trPr>
        <w:tc>
          <w:tcPr>
            <w:tcW w:w="3539" w:type="dxa"/>
            <w:tcMar>
              <w:left w:w="108" w:type="dxa"/>
              <w:right w:w="108" w:type="dxa"/>
            </w:tcMar>
          </w:tcPr>
          <w:p w14:paraId="42F1E751" w14:textId="77777777" w:rsidR="00123E19" w:rsidRPr="00F56AB6" w:rsidRDefault="00123E19" w:rsidP="00E96D48">
            <w:pPr>
              <w:ind w:left="165" w:firstLine="0"/>
              <w:rPr>
                <w:b/>
                <w:bCs/>
              </w:rPr>
            </w:pPr>
            <w:r w:rsidRPr="00F56AB6">
              <w:rPr>
                <w:rFonts w:eastAsia="Source Sans Pro" w:cs="Source Sans Pro"/>
                <w:b/>
                <w:bCs/>
                <w:lang w:val="en"/>
              </w:rPr>
              <w:t>Youth</w:t>
            </w:r>
          </w:p>
        </w:tc>
        <w:tc>
          <w:tcPr>
            <w:tcW w:w="5821" w:type="dxa"/>
            <w:tcMar>
              <w:left w:w="108" w:type="dxa"/>
              <w:right w:w="108" w:type="dxa"/>
            </w:tcMar>
          </w:tcPr>
          <w:p w14:paraId="5543DC93" w14:textId="77777777" w:rsidR="00123E19" w:rsidRDefault="00123E19" w:rsidP="00E96D48">
            <w:pPr>
              <w:ind w:left="174" w:firstLine="0"/>
              <w:rPr>
                <w:rFonts w:ascii="Source Sans Pro" w:eastAsia="Source Sans Pro" w:hAnsi="Source Sans Pro" w:cs="Source Sans Pro"/>
                <w:lang w:val="en-US"/>
              </w:rPr>
            </w:pPr>
            <w:r w:rsidRPr="00F56AB6">
              <w:rPr>
                <w:rFonts w:ascii="Source Sans Pro" w:eastAsia="Source Sans Pro" w:hAnsi="Source Sans Pro" w:cs="Source Sans Pro"/>
                <w:lang w:val="en-US"/>
              </w:rPr>
              <w:t>Individuals aged 29 and under</w:t>
            </w:r>
            <w:r>
              <w:rPr>
                <w:rFonts w:ascii="Source Sans Pro" w:eastAsia="Source Sans Pro" w:hAnsi="Source Sans Pro" w:cs="Source Sans Pro"/>
                <w:lang w:val="en-US"/>
              </w:rPr>
              <w:t>.</w:t>
            </w:r>
          </w:p>
          <w:p w14:paraId="2771DE8D" w14:textId="77777777" w:rsidR="00123E19" w:rsidRPr="00F56AB6" w:rsidRDefault="00123E19" w:rsidP="00E96D48">
            <w:pPr>
              <w:ind w:left="174" w:firstLine="0"/>
              <w:rPr>
                <w:rFonts w:ascii="Source Sans Pro" w:eastAsia="Source Sans Pro" w:hAnsi="Source Sans Pro" w:cs="Source Sans Pro"/>
                <w:lang w:val="en-US"/>
              </w:rPr>
            </w:pPr>
          </w:p>
        </w:tc>
      </w:tr>
      <w:tr w:rsidR="00123E19" w:rsidRPr="007C52EF" w14:paraId="06DADECB" w14:textId="77777777" w:rsidTr="00E96D48">
        <w:trPr>
          <w:trHeight w:val="300"/>
        </w:trPr>
        <w:tc>
          <w:tcPr>
            <w:tcW w:w="3539" w:type="dxa"/>
            <w:tcMar>
              <w:left w:w="108" w:type="dxa"/>
              <w:right w:w="108" w:type="dxa"/>
            </w:tcMar>
          </w:tcPr>
          <w:p w14:paraId="2B81054C" w14:textId="77777777" w:rsidR="00123E19" w:rsidRPr="00F56AB6" w:rsidRDefault="00123E19" w:rsidP="00E96D48">
            <w:pPr>
              <w:ind w:left="165" w:firstLine="0"/>
              <w:rPr>
                <w:b/>
                <w:bCs/>
              </w:rPr>
            </w:pPr>
            <w:r w:rsidRPr="00F56AB6">
              <w:rPr>
                <w:rFonts w:eastAsia="Source Sans Pro" w:cs="Source Sans Pro"/>
                <w:b/>
                <w:bCs/>
                <w:lang w:val="en"/>
              </w:rPr>
              <w:t>Veterans</w:t>
            </w:r>
          </w:p>
        </w:tc>
        <w:tc>
          <w:tcPr>
            <w:tcW w:w="5821" w:type="dxa"/>
            <w:tcMar>
              <w:left w:w="108" w:type="dxa"/>
              <w:right w:w="108" w:type="dxa"/>
            </w:tcMar>
          </w:tcPr>
          <w:p w14:paraId="0FB50CA7" w14:textId="77777777" w:rsidR="00123E19" w:rsidRDefault="00123E19" w:rsidP="00E96D48">
            <w:pPr>
              <w:ind w:left="174" w:firstLine="0"/>
              <w:rPr>
                <w:rFonts w:ascii="Source Sans Pro" w:eastAsia="Source Sans Pro" w:hAnsi="Source Sans Pro" w:cs="Source Sans Pro"/>
                <w:lang w:val="en-US"/>
              </w:rPr>
            </w:pPr>
            <w:r w:rsidRPr="00F56AB6">
              <w:rPr>
                <w:rFonts w:ascii="Source Sans Pro" w:eastAsia="Source Sans Pro" w:hAnsi="Source Sans Pro" w:cs="Source Sans Pro"/>
                <w:lang w:val="en-US"/>
              </w:rPr>
              <w:t xml:space="preserve">A person who is serving or who has </w:t>
            </w:r>
            <w:proofErr w:type="spellStart"/>
            <w:r w:rsidRPr="00F56AB6">
              <w:rPr>
                <w:rFonts w:ascii="Source Sans Pro" w:eastAsia="Source Sans Pro" w:hAnsi="Source Sans Pro" w:cs="Source Sans Pro"/>
                <w:lang w:val="en-US"/>
              </w:rPr>
              <w:t>honourably</w:t>
            </w:r>
            <w:proofErr w:type="spellEnd"/>
            <w:r w:rsidRPr="00F56AB6">
              <w:rPr>
                <w:rFonts w:ascii="Source Sans Pro" w:eastAsia="Source Sans Pro" w:hAnsi="Source Sans Pro" w:cs="Source Sans Pro"/>
                <w:lang w:val="en-US"/>
              </w:rPr>
              <w:t xml:space="preserve"> served in the Canadian Armed Forces, the commonwealth, or its wartime allies, or as a Regular Member of the Royal Canadian Mounted Police, or as a Peace Officer in a Special Duty Area or on a Special Duty Operation, or who has served in the Merchant Navy or Ferry Command during wartime.</w:t>
            </w:r>
          </w:p>
          <w:p w14:paraId="2FB3268E" w14:textId="77777777" w:rsidR="00123E19" w:rsidRPr="00F56AB6" w:rsidRDefault="00123E19" w:rsidP="00E96D48">
            <w:pPr>
              <w:ind w:left="174" w:firstLine="0"/>
              <w:rPr>
                <w:rFonts w:ascii="Source Sans Pro" w:eastAsia="Source Sans Pro" w:hAnsi="Source Sans Pro" w:cs="Source Sans Pro"/>
                <w:lang w:val="en-US"/>
              </w:rPr>
            </w:pPr>
          </w:p>
        </w:tc>
      </w:tr>
    </w:tbl>
    <w:p w14:paraId="3BCA189C" w14:textId="77777777" w:rsidR="00123E19" w:rsidRPr="00123E19" w:rsidRDefault="00123E19">
      <w:pPr>
        <w:rPr>
          <w:b/>
          <w:bCs/>
        </w:rPr>
      </w:pPr>
    </w:p>
    <w:sectPr w:rsidR="00123E19" w:rsidRPr="00123E1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84A8" w14:textId="77777777" w:rsidR="00123E19" w:rsidRDefault="00123E19" w:rsidP="00123E19">
      <w:pPr>
        <w:spacing w:after="0" w:line="240" w:lineRule="auto"/>
      </w:pPr>
      <w:r>
        <w:separator/>
      </w:r>
    </w:p>
  </w:endnote>
  <w:endnote w:type="continuationSeparator" w:id="0">
    <w:p w14:paraId="32020394" w14:textId="77777777" w:rsidR="00123E19" w:rsidRDefault="00123E19" w:rsidP="0012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F28F" w14:textId="77777777" w:rsidR="00123E19" w:rsidRDefault="00123E19" w:rsidP="00123E19">
      <w:pPr>
        <w:spacing w:after="0" w:line="240" w:lineRule="auto"/>
      </w:pPr>
      <w:r>
        <w:separator/>
      </w:r>
    </w:p>
  </w:footnote>
  <w:footnote w:type="continuationSeparator" w:id="0">
    <w:p w14:paraId="31EADE5F" w14:textId="77777777" w:rsidR="00123E19" w:rsidRDefault="00123E19" w:rsidP="00123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A44A" w14:textId="77777777" w:rsidR="00123E19" w:rsidRPr="00C839CD" w:rsidRDefault="00123E19" w:rsidP="00123E19">
    <w:pPr>
      <w:pStyle w:val="Comment"/>
      <w:spacing w:before="0" w:after="0"/>
      <w:ind w:right="-1"/>
      <w:jc w:val="right"/>
      <w:rPr>
        <w:rFonts w:ascii="Aptos" w:hAnsi="Aptos" w:cstheme="minorHAnsi"/>
        <w:b/>
        <w:bCs/>
        <w:color w:val="auto"/>
        <w:sz w:val="20"/>
        <w:szCs w:val="20"/>
      </w:rPr>
    </w:pPr>
    <w:r w:rsidRPr="00C839CD">
      <w:rPr>
        <w:rFonts w:ascii="Aptos" w:hAnsi="Aptos" w:cstheme="minorHAnsi"/>
        <w:noProof/>
        <w:sz w:val="20"/>
        <w:szCs w:val="20"/>
        <w:lang w:eastAsia="en-CA"/>
      </w:rPr>
      <w:drawing>
        <wp:anchor distT="0" distB="0" distL="114300" distR="114300" simplePos="0" relativeHeight="251659264" behindDoc="1" locked="0" layoutInCell="1" allowOverlap="1" wp14:anchorId="3FC5BC52" wp14:editId="1FD6600C">
          <wp:simplePos x="0" y="0"/>
          <wp:positionH relativeFrom="column">
            <wp:posOffset>-81280</wp:posOffset>
          </wp:positionH>
          <wp:positionV relativeFrom="paragraph">
            <wp:posOffset>49530</wp:posOffset>
          </wp:positionV>
          <wp:extent cx="1695450" cy="419100"/>
          <wp:effectExtent l="0" t="0" r="0" b="0"/>
          <wp:wrapThrough wrapText="bothSides">
            <wp:wrapPolygon edited="0">
              <wp:start x="0" y="0"/>
              <wp:lineTo x="0" y="20618"/>
              <wp:lineTo x="21357" y="20618"/>
              <wp:lineTo x="213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anchor>
      </w:drawing>
    </w:r>
    <w:r w:rsidRPr="00C839CD">
      <w:rPr>
        <w:rFonts w:ascii="Aptos" w:hAnsi="Aptos" w:cstheme="minorHAnsi"/>
        <w:color w:val="auto"/>
        <w:sz w:val="20"/>
        <w:szCs w:val="20"/>
      </w:rPr>
      <w:t>RFPQ #1070-2</w:t>
    </w:r>
    <w:r>
      <w:rPr>
        <w:rFonts w:ascii="Aptos" w:hAnsi="Aptos" w:cstheme="minorHAnsi"/>
        <w:color w:val="auto"/>
        <w:sz w:val="20"/>
        <w:szCs w:val="20"/>
      </w:rPr>
      <w:t>526</w:t>
    </w:r>
    <w:r w:rsidRPr="00C839CD">
      <w:rPr>
        <w:rFonts w:ascii="Aptos" w:hAnsi="Aptos" w:cstheme="minorHAnsi"/>
        <w:color w:val="auto"/>
        <w:sz w:val="20"/>
        <w:szCs w:val="20"/>
      </w:rPr>
      <w:t>-</w:t>
    </w:r>
    <w:r>
      <w:rPr>
        <w:rFonts w:ascii="Aptos" w:hAnsi="Aptos" w:cstheme="minorHAnsi"/>
        <w:color w:val="auto"/>
        <w:sz w:val="20"/>
        <w:szCs w:val="20"/>
      </w:rPr>
      <w:t>093</w:t>
    </w:r>
  </w:p>
  <w:p w14:paraId="49C961A8" w14:textId="77777777" w:rsidR="00123E19" w:rsidRPr="00C839CD" w:rsidRDefault="00123E19" w:rsidP="00123E19">
    <w:pPr>
      <w:pStyle w:val="Comment"/>
      <w:spacing w:before="0" w:after="0"/>
      <w:ind w:right="-1"/>
      <w:jc w:val="right"/>
      <w:rPr>
        <w:rFonts w:ascii="Aptos" w:hAnsi="Aptos" w:cstheme="minorHAnsi"/>
        <w:color w:val="auto"/>
        <w:sz w:val="20"/>
        <w:szCs w:val="20"/>
      </w:rPr>
    </w:pPr>
    <w:r>
      <w:rPr>
        <w:rFonts w:ascii="Aptos" w:hAnsi="Aptos" w:cstheme="minorHAnsi"/>
        <w:color w:val="auto"/>
        <w:sz w:val="20"/>
        <w:szCs w:val="20"/>
      </w:rPr>
      <w:t>Temporary Winter Shelter Operator Services</w:t>
    </w:r>
  </w:p>
  <w:p w14:paraId="4DB43B67" w14:textId="77777777" w:rsidR="00123E19" w:rsidRPr="00414E3C" w:rsidRDefault="00123E19" w:rsidP="00123E19">
    <w:pPr>
      <w:pStyle w:val="Comment"/>
      <w:spacing w:before="0" w:after="0"/>
      <w:ind w:right="-1"/>
      <w:jc w:val="right"/>
      <w:rPr>
        <w:rFonts w:cstheme="minorHAnsi"/>
        <w:color w:val="auto"/>
        <w:sz w:val="18"/>
        <w:szCs w:val="18"/>
      </w:rPr>
    </w:pPr>
    <w:r w:rsidRPr="00C839CD">
      <w:rPr>
        <w:rFonts w:ascii="Aptos" w:hAnsi="Aptos" w:cstheme="minorHAnsi"/>
        <w:color w:val="auto"/>
        <w:sz w:val="20"/>
        <w:szCs w:val="20"/>
      </w:rPr>
      <w:t>Within the Province of British Columbia</w:t>
    </w:r>
  </w:p>
  <w:p w14:paraId="1657C24D" w14:textId="77777777" w:rsidR="00123E19" w:rsidRDefault="00123E19" w:rsidP="00123E19">
    <w:pPr>
      <w:pStyle w:val="Header"/>
    </w:pPr>
  </w:p>
  <w:p w14:paraId="67229ED6" w14:textId="77777777" w:rsidR="00123E19" w:rsidRDefault="001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19"/>
    <w:rsid w:val="00123E19"/>
    <w:rsid w:val="00DE02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0C31"/>
  <w15:chartTrackingRefBased/>
  <w15:docId w15:val="{2B773CEB-38BA-4580-8AAF-9423DA91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19"/>
    <w:pPr>
      <w:spacing w:line="259" w:lineRule="auto"/>
    </w:pPr>
    <w:rPr>
      <w:rFonts w:ascii="Aptos" w:hAnsi="Aptos"/>
      <w:sz w:val="22"/>
      <w:szCs w:val="22"/>
    </w:rPr>
  </w:style>
  <w:style w:type="paragraph" w:styleId="Heading1">
    <w:name w:val="heading 1"/>
    <w:basedOn w:val="Normal"/>
    <w:next w:val="Normal"/>
    <w:link w:val="Heading1Char"/>
    <w:uiPriority w:val="9"/>
    <w:qFormat/>
    <w:rsid w:val="00123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3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3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3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19"/>
    <w:rPr>
      <w:rFonts w:eastAsiaTheme="majorEastAsia" w:cstheme="majorBidi"/>
      <w:color w:val="272727" w:themeColor="text1" w:themeTint="D8"/>
    </w:rPr>
  </w:style>
  <w:style w:type="paragraph" w:styleId="Title">
    <w:name w:val="Title"/>
    <w:basedOn w:val="Normal"/>
    <w:next w:val="Normal"/>
    <w:link w:val="TitleChar"/>
    <w:uiPriority w:val="10"/>
    <w:qFormat/>
    <w:rsid w:val="00123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19"/>
    <w:pPr>
      <w:spacing w:before="160"/>
      <w:jc w:val="center"/>
    </w:pPr>
    <w:rPr>
      <w:i/>
      <w:iCs/>
      <w:color w:val="404040" w:themeColor="text1" w:themeTint="BF"/>
    </w:rPr>
  </w:style>
  <w:style w:type="character" w:customStyle="1" w:styleId="QuoteChar">
    <w:name w:val="Quote Char"/>
    <w:basedOn w:val="DefaultParagraphFont"/>
    <w:link w:val="Quote"/>
    <w:uiPriority w:val="29"/>
    <w:rsid w:val="00123E19"/>
    <w:rPr>
      <w:i/>
      <w:iCs/>
      <w:color w:val="404040" w:themeColor="text1" w:themeTint="BF"/>
    </w:rPr>
  </w:style>
  <w:style w:type="paragraph" w:styleId="ListParagraph">
    <w:name w:val="List Paragraph"/>
    <w:basedOn w:val="Normal"/>
    <w:uiPriority w:val="34"/>
    <w:qFormat/>
    <w:rsid w:val="00123E19"/>
    <w:pPr>
      <w:ind w:left="720"/>
      <w:contextualSpacing/>
    </w:pPr>
  </w:style>
  <w:style w:type="character" w:styleId="IntenseEmphasis">
    <w:name w:val="Intense Emphasis"/>
    <w:basedOn w:val="DefaultParagraphFont"/>
    <w:uiPriority w:val="21"/>
    <w:qFormat/>
    <w:rsid w:val="00123E19"/>
    <w:rPr>
      <w:i/>
      <w:iCs/>
      <w:color w:val="0F4761" w:themeColor="accent1" w:themeShade="BF"/>
    </w:rPr>
  </w:style>
  <w:style w:type="paragraph" w:styleId="IntenseQuote">
    <w:name w:val="Intense Quote"/>
    <w:basedOn w:val="Normal"/>
    <w:next w:val="Normal"/>
    <w:link w:val="IntenseQuoteChar"/>
    <w:uiPriority w:val="30"/>
    <w:qFormat/>
    <w:rsid w:val="00123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E19"/>
    <w:rPr>
      <w:i/>
      <w:iCs/>
      <w:color w:val="0F4761" w:themeColor="accent1" w:themeShade="BF"/>
    </w:rPr>
  </w:style>
  <w:style w:type="character" w:styleId="IntenseReference">
    <w:name w:val="Intense Reference"/>
    <w:basedOn w:val="DefaultParagraphFont"/>
    <w:uiPriority w:val="32"/>
    <w:qFormat/>
    <w:rsid w:val="00123E19"/>
    <w:rPr>
      <w:b/>
      <w:bCs/>
      <w:smallCaps/>
      <w:color w:val="0F4761" w:themeColor="accent1" w:themeShade="BF"/>
      <w:spacing w:val="5"/>
    </w:rPr>
  </w:style>
  <w:style w:type="table" w:styleId="TableGrid">
    <w:name w:val="Table Grid"/>
    <w:basedOn w:val="TableNormal"/>
    <w:uiPriority w:val="39"/>
    <w:rsid w:val="00123E19"/>
    <w:pPr>
      <w:spacing w:before="120" w:after="0" w:line="240" w:lineRule="auto"/>
      <w:ind w:left="992" w:right="425" w:hanging="425"/>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19"/>
    <w:rPr>
      <w:rFonts w:ascii="Aptos" w:hAnsi="Aptos"/>
      <w:sz w:val="22"/>
      <w:szCs w:val="22"/>
    </w:rPr>
  </w:style>
  <w:style w:type="paragraph" w:styleId="Footer">
    <w:name w:val="footer"/>
    <w:basedOn w:val="Normal"/>
    <w:link w:val="FooterChar"/>
    <w:uiPriority w:val="99"/>
    <w:unhideWhenUsed/>
    <w:rsid w:val="00123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E19"/>
    <w:rPr>
      <w:rFonts w:ascii="Aptos" w:hAnsi="Aptos"/>
      <w:sz w:val="22"/>
      <w:szCs w:val="22"/>
    </w:rPr>
  </w:style>
  <w:style w:type="paragraph" w:customStyle="1" w:styleId="Comment">
    <w:name w:val="Comment"/>
    <w:basedOn w:val="Normal"/>
    <w:link w:val="CommentChar"/>
    <w:qFormat/>
    <w:rsid w:val="00123E19"/>
    <w:pPr>
      <w:tabs>
        <w:tab w:val="left" w:pos="425"/>
      </w:tabs>
      <w:spacing w:before="120" w:after="120" w:line="240" w:lineRule="auto"/>
      <w:ind w:right="425"/>
    </w:pPr>
    <w:rPr>
      <w:rFonts w:ascii="Source Sans Pro" w:hAnsi="Source Sans Pro"/>
      <w:color w:val="2C7FCE" w:themeColor="text2" w:themeTint="99"/>
      <w:kern w:val="0"/>
      <w14:ligatures w14:val="none"/>
    </w:rPr>
  </w:style>
  <w:style w:type="character" w:customStyle="1" w:styleId="CommentChar">
    <w:name w:val="Comment Char"/>
    <w:basedOn w:val="DefaultParagraphFont"/>
    <w:link w:val="Comment"/>
    <w:rsid w:val="00123E19"/>
    <w:rPr>
      <w:rFonts w:ascii="Source Sans Pro" w:hAnsi="Source Sans Pro"/>
      <w:color w:val="2C7FCE" w:themeColor="text2" w:themeTint="99"/>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Novais</dc:creator>
  <cp:keywords/>
  <dc:description/>
  <cp:lastModifiedBy>Leonardo Novais</cp:lastModifiedBy>
  <cp:revision>1</cp:revision>
  <dcterms:created xsi:type="dcterms:W3CDTF">2025-07-09T16:52:00Z</dcterms:created>
  <dcterms:modified xsi:type="dcterms:W3CDTF">2025-07-09T16:54:00Z</dcterms:modified>
</cp:coreProperties>
</file>